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62A76" w14:textId="25C58D7C" w:rsidR="00177B88" w:rsidRPr="00E106C5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E106C5">
        <w:rPr>
          <w:rFonts w:ascii="Arial" w:hAnsi="Arial" w:cs="Arial"/>
          <w:b/>
          <w:bCs/>
          <w:sz w:val="24"/>
        </w:rPr>
        <w:t xml:space="preserve">3GPP TSG RAN WG1 Meeting </w:t>
      </w:r>
      <w:r w:rsidR="00382772">
        <w:rPr>
          <w:rFonts w:ascii="Arial" w:hAnsi="Arial" w:cs="Arial"/>
          <w:b/>
          <w:bCs/>
          <w:sz w:val="24"/>
        </w:rPr>
        <w:t>#</w:t>
      </w:r>
      <w:r w:rsidR="004A30C2" w:rsidRPr="00E106C5">
        <w:rPr>
          <w:rFonts w:ascii="Arial" w:hAnsi="Arial" w:cs="Arial"/>
          <w:b/>
          <w:bCs/>
          <w:sz w:val="24"/>
        </w:rPr>
        <w:t>9</w:t>
      </w:r>
      <w:r w:rsidR="00F21D14">
        <w:rPr>
          <w:rFonts w:ascii="Arial" w:hAnsi="Arial" w:cs="Arial"/>
          <w:b/>
          <w:bCs/>
          <w:sz w:val="24"/>
        </w:rPr>
        <w:t>3</w:t>
      </w:r>
      <w:r w:rsidRPr="00E106C5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E106C5">
        <w:rPr>
          <w:rFonts w:ascii="Arial" w:hAnsi="Arial" w:cs="Arial"/>
          <w:b/>
          <w:bCs/>
          <w:sz w:val="24"/>
        </w:rPr>
        <w:t xml:space="preserve">           </w:t>
      </w:r>
      <w:r w:rsidR="00E106C5">
        <w:rPr>
          <w:rFonts w:ascii="Arial" w:hAnsi="Arial" w:cs="Arial"/>
          <w:b/>
          <w:bCs/>
          <w:sz w:val="24"/>
        </w:rPr>
        <w:tab/>
      </w:r>
      <w:r w:rsidR="004D406D" w:rsidRPr="004D406D">
        <w:rPr>
          <w:rFonts w:ascii="Arial" w:hAnsi="Arial" w:cs="Arial"/>
          <w:b/>
          <w:bCs/>
          <w:sz w:val="24"/>
        </w:rPr>
        <w:t>R1-1806661</w:t>
      </w:r>
    </w:p>
    <w:p w14:paraId="56A8114B" w14:textId="54692F6E" w:rsidR="00CA26CE" w:rsidRDefault="00F21D14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F21D14">
        <w:rPr>
          <w:rFonts w:eastAsia="MS Mincho" w:cs="Arial"/>
          <w:bCs/>
          <w:noProof w:val="0"/>
          <w:sz w:val="24"/>
          <w:lang w:val="en-GB" w:eastAsia="ja-JP"/>
        </w:rPr>
        <w:t>Busan, Korea, May 21st – 25th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>, 2018</w:t>
      </w:r>
      <w:bookmarkStart w:id="0" w:name="_GoBack"/>
      <w:bookmarkEnd w:id="0"/>
    </w:p>
    <w:p w14:paraId="16D0C5EC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0625E5F6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FB78F8">
        <w:rPr>
          <w:rFonts w:cs="Arial"/>
          <w:b/>
          <w:bCs/>
          <w:sz w:val="24"/>
        </w:rPr>
        <w:t>7.7</w:t>
      </w:r>
      <w:r w:rsidR="00921AA2">
        <w:rPr>
          <w:rFonts w:cs="Arial"/>
          <w:b/>
          <w:bCs/>
          <w:sz w:val="24"/>
        </w:rPr>
        <w:t>.</w:t>
      </w:r>
      <w:r w:rsidR="00673BE2">
        <w:rPr>
          <w:rFonts w:cs="Arial"/>
          <w:b/>
          <w:bCs/>
          <w:sz w:val="24"/>
        </w:rPr>
        <w:t>2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4BA06912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B51E0">
        <w:rPr>
          <w:rFonts w:ascii="Arial" w:hAnsi="Arial" w:cs="Arial"/>
          <w:b/>
          <w:bCs/>
          <w:sz w:val="24"/>
        </w:rPr>
        <w:t>Evaluation Methodology for NR IAB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7043D6F" w14:textId="755E56B7" w:rsidR="004801E6" w:rsidRDefault="004451D3" w:rsidP="008A215D">
      <w:pPr>
        <w:spacing w:after="120"/>
        <w:jc w:val="both"/>
      </w:pPr>
      <w:r>
        <w:t>RAN1</w:t>
      </w:r>
      <w:r w:rsidR="00D52656">
        <w:t xml:space="preserve">#92bis discussed </w:t>
      </w:r>
      <w:r w:rsidR="00572CD5">
        <w:t>the evaluation methodology for IAB specify</w:t>
      </w:r>
      <w:r w:rsidR="00924C2F">
        <w:t>ing</w:t>
      </w:r>
      <w:r w:rsidR="00572CD5">
        <w:t xml:space="preserve"> two scenarios, a </w:t>
      </w:r>
      <w:r w:rsidR="004801E6">
        <w:t>h</w:t>
      </w:r>
      <w:r w:rsidR="00572CD5">
        <w:t xml:space="preserve">omogenous and a </w:t>
      </w:r>
      <w:r w:rsidR="004801E6">
        <w:t>h</w:t>
      </w:r>
      <w:r w:rsidR="00572CD5">
        <w:t>eterogeneous</w:t>
      </w:r>
      <w:r w:rsidR="004801E6">
        <w:t xml:space="preserve"> IAB s</w:t>
      </w:r>
      <w:r w:rsidR="00572CD5">
        <w:t>cenario</w:t>
      </w:r>
      <w:r w:rsidR="00D52656">
        <w:t xml:space="preserve"> </w:t>
      </w:r>
      <w:r w:rsidR="00D52656">
        <w:fldChar w:fldCharType="begin"/>
      </w:r>
      <w:r w:rsidR="00D52656">
        <w:instrText xml:space="preserve"> REF _Ref513450431 \r \h </w:instrText>
      </w:r>
      <w:r w:rsidR="00D52656">
        <w:fldChar w:fldCharType="separate"/>
      </w:r>
      <w:r w:rsidR="00A96559">
        <w:t>[2]</w:t>
      </w:r>
      <w:r w:rsidR="00D52656">
        <w:fldChar w:fldCharType="end"/>
      </w:r>
      <w:r w:rsidR="00572CD5">
        <w:t>.  The scenarios</w:t>
      </w:r>
      <w:r w:rsidR="00E664F4">
        <w:t xml:space="preserve"> descriptions</w:t>
      </w:r>
      <w:r w:rsidR="00572CD5">
        <w:t xml:space="preserve"> include node deployment, node types (micro or macro), numbers of fiber </w:t>
      </w:r>
      <w:r w:rsidR="004801E6">
        <w:t xml:space="preserve">connected </w:t>
      </w:r>
      <w:r w:rsidR="00E664F4">
        <w:t xml:space="preserve">donor </w:t>
      </w:r>
      <w:r w:rsidR="00572CD5">
        <w:t xml:space="preserve">nodes, numbers of IAB nodes, </w:t>
      </w:r>
      <w:r w:rsidR="004801E6">
        <w:t xml:space="preserve">node </w:t>
      </w:r>
      <w:r w:rsidR="00572CD5">
        <w:t>Inter-Site Distance (ISD), frequency, bandwidth and duplex mode.</w:t>
      </w:r>
      <w:r w:rsidR="004801E6">
        <w:t xml:space="preserve">  One FFS was left open for ISD of the heterogeneous scenario.  Furthermore, no guidance was provided on whether UEs would be dropped indoors and/or outdoors</w:t>
      </w:r>
      <w:r w:rsidR="00E664F4">
        <w:t xml:space="preserve"> nor whether the UE dropping would be uniform or clustered</w:t>
      </w:r>
      <w:r w:rsidR="004801E6">
        <w:t>.</w:t>
      </w:r>
    </w:p>
    <w:p w14:paraId="3566511B" w14:textId="172B84A5" w:rsidR="00D52656" w:rsidRPr="00D52656" w:rsidRDefault="00E664F4" w:rsidP="008A215D">
      <w:pPr>
        <w:jc w:val="both"/>
        <w:rPr>
          <w:lang w:val="en-US"/>
        </w:rPr>
      </w:pPr>
      <w:r>
        <w:rPr>
          <w:lang w:val="en-US"/>
        </w:rPr>
        <w:t>A key</w:t>
      </w:r>
      <w:r w:rsidR="004801E6">
        <w:rPr>
          <w:lang w:val="en-US"/>
        </w:rPr>
        <w:t xml:space="preserve"> utility of IAB nodes </w:t>
      </w:r>
      <w:r>
        <w:rPr>
          <w:lang w:val="en-US"/>
        </w:rPr>
        <w:t>is such</w:t>
      </w:r>
      <w:r w:rsidR="004801E6">
        <w:rPr>
          <w:lang w:val="en-US"/>
        </w:rPr>
        <w:t xml:space="preserve"> that they mitigate sparse fiber scenarios where coverage is limited and remediate isolated covera</w:t>
      </w:r>
      <w:r w:rsidR="00F4031F">
        <w:rPr>
          <w:lang w:val="en-US"/>
        </w:rPr>
        <w:t xml:space="preserve">ge gaps due to blockage for deployments at frequencies &gt; 6 GHz </w:t>
      </w:r>
      <w:r w:rsidR="00F4031F">
        <w:rPr>
          <w:lang w:val="en-US"/>
        </w:rPr>
        <w:fldChar w:fldCharType="begin"/>
      </w:r>
      <w:r w:rsidR="00F4031F">
        <w:rPr>
          <w:lang w:val="en-US"/>
        </w:rPr>
        <w:instrText xml:space="preserve"> REF _Ref513647087 \r \h </w:instrText>
      </w:r>
      <w:r w:rsidR="00F4031F">
        <w:rPr>
          <w:lang w:val="en-US"/>
        </w:rPr>
      </w:r>
      <w:r w:rsidR="00F4031F">
        <w:rPr>
          <w:lang w:val="en-US"/>
        </w:rPr>
        <w:fldChar w:fldCharType="separate"/>
      </w:r>
      <w:r w:rsidR="00A96559">
        <w:rPr>
          <w:lang w:val="en-US"/>
        </w:rPr>
        <w:t>[3]</w:t>
      </w:r>
      <w:r w:rsidR="00F4031F">
        <w:rPr>
          <w:lang w:val="en-US"/>
        </w:rPr>
        <w:fldChar w:fldCharType="end"/>
      </w:r>
      <w:r w:rsidR="00272A7C">
        <w:rPr>
          <w:lang w:val="en-US"/>
        </w:rPr>
        <w:t xml:space="preserve">.  </w:t>
      </w:r>
      <w:r w:rsidR="00F4031F">
        <w:rPr>
          <w:lang w:val="en-US"/>
        </w:rPr>
        <w:t>This contribution examines the</w:t>
      </w:r>
      <w:r>
        <w:rPr>
          <w:lang w:val="en-US"/>
        </w:rPr>
        <w:t xml:space="preserve"> access UE</w:t>
      </w:r>
      <w:r w:rsidR="00F4031F">
        <w:rPr>
          <w:lang w:val="en-US"/>
        </w:rPr>
        <w:t xml:space="preserve"> SINR distribution </w:t>
      </w:r>
      <w:r>
        <w:rPr>
          <w:lang w:val="en-US"/>
        </w:rPr>
        <w:t>due to the addition of IAB nodes</w:t>
      </w:r>
      <w:r w:rsidR="00F4031F">
        <w:rPr>
          <w:lang w:val="en-US"/>
        </w:rPr>
        <w:t xml:space="preserve"> in the homogeneous and heterogeneous IAB scenarios.  Further recommendations are made for ISDs and UE locations, indoors and/or outdoors.</w:t>
      </w:r>
      <w:r w:rsidR="004801E6">
        <w:rPr>
          <w:lang w:val="en-US"/>
        </w:rPr>
        <w:t xml:space="preserve"> </w:t>
      </w:r>
    </w:p>
    <w:p w14:paraId="10FD11CC" w14:textId="0A0E6622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5E7117">
        <w:t>Discussion</w:t>
      </w:r>
    </w:p>
    <w:p w14:paraId="5E684B78" w14:textId="08735211" w:rsidR="0092658D" w:rsidRPr="00581E73" w:rsidRDefault="00F4031F" w:rsidP="008A215D">
      <w:pPr>
        <w:jc w:val="both"/>
      </w:pPr>
      <w:r>
        <w:t xml:space="preserve">The following sections examine the ISD and UE dropping criteria for homogenous and heterogeneous scenarios.  The goal is to confirm that </w:t>
      </w:r>
      <w:r w:rsidR="00F47025">
        <w:t>coverage limited scenarios are addressed by the agreed evaluation methodology.</w:t>
      </w:r>
    </w:p>
    <w:p w14:paraId="5F8194B5" w14:textId="066A4C32" w:rsidR="00EC4DEE" w:rsidRDefault="00927BDE" w:rsidP="00EC4DEE">
      <w:pPr>
        <w:pStyle w:val="Heading2"/>
        <w:rPr>
          <w:lang w:val="en-US"/>
        </w:rPr>
      </w:pPr>
      <w:r>
        <w:rPr>
          <w:lang w:val="en-US"/>
        </w:rPr>
        <w:t>2.</w:t>
      </w:r>
      <w:r w:rsidR="006901CD">
        <w:rPr>
          <w:lang w:val="en-US"/>
        </w:rPr>
        <w:t>1</w:t>
      </w:r>
      <w:r>
        <w:rPr>
          <w:lang w:val="en-US"/>
        </w:rPr>
        <w:tab/>
      </w:r>
      <w:r w:rsidR="00F4031F">
        <w:rPr>
          <w:lang w:val="en-US"/>
        </w:rPr>
        <w:t>Heterogeneous IAB Scenario</w:t>
      </w:r>
    </w:p>
    <w:p w14:paraId="2D9634A9" w14:textId="158F800C" w:rsidR="00606731" w:rsidRDefault="00F47025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  <w:bookmarkStart w:id="1" w:name="_Hlk513651779"/>
      <w:r>
        <w:rPr>
          <w:sz w:val="20"/>
          <w:szCs w:val="20"/>
          <w:lang w:val="en-US"/>
        </w:rPr>
        <w:t>In this section, we examine the S</w:t>
      </w:r>
      <w:r w:rsidR="006739CF">
        <w:rPr>
          <w:sz w:val="20"/>
          <w:szCs w:val="20"/>
          <w:lang w:val="en-US"/>
        </w:rPr>
        <w:t>INR distribution</w:t>
      </w:r>
      <w:r>
        <w:rPr>
          <w:sz w:val="20"/>
          <w:szCs w:val="20"/>
          <w:lang w:val="en-US"/>
        </w:rPr>
        <w:t xml:space="preserve"> for the 7 site, 21 cell macro network before and after 63 IAB nodes are dropped (9 IAB nodes per Site</w:t>
      </w:r>
      <w:r w:rsidR="00231E8E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3 IAB nodes per cell).</w:t>
      </w:r>
      <w:r w:rsidR="006739CF">
        <w:rPr>
          <w:sz w:val="20"/>
          <w:szCs w:val="20"/>
          <w:lang w:val="en-US"/>
        </w:rPr>
        <w:t xml:space="preserve">  Two ISD values are examined; the agreed 500m ISD and a proposed 1732m ISD.</w:t>
      </w:r>
      <w:r>
        <w:rPr>
          <w:sz w:val="20"/>
          <w:szCs w:val="20"/>
          <w:lang w:val="en-US"/>
        </w:rPr>
        <w:t xml:space="preserve">   </w:t>
      </w:r>
      <w:r w:rsidR="00C66D76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SINR </w:t>
      </w:r>
      <w:r w:rsidR="00C66D76">
        <w:rPr>
          <w:sz w:val="20"/>
          <w:szCs w:val="20"/>
          <w:lang w:val="en-US"/>
        </w:rPr>
        <w:t xml:space="preserve">for access UEs </w:t>
      </w:r>
      <w:r>
        <w:rPr>
          <w:sz w:val="20"/>
          <w:szCs w:val="20"/>
          <w:lang w:val="en-US"/>
        </w:rPr>
        <w:t xml:space="preserve">is presented for two UE dropping </w:t>
      </w:r>
      <w:r w:rsidR="00231E8E">
        <w:rPr>
          <w:sz w:val="20"/>
          <w:szCs w:val="20"/>
          <w:lang w:val="en-US"/>
        </w:rPr>
        <w:t>ratios: 100% outdoor and 80% indoor.</w:t>
      </w:r>
      <w:r w:rsidR="00FB4FAA">
        <w:rPr>
          <w:sz w:val="20"/>
          <w:szCs w:val="20"/>
          <w:lang w:val="en-US"/>
        </w:rPr>
        <w:t xml:space="preserve"> </w:t>
      </w:r>
      <w:r w:rsidR="00A34EEB">
        <w:rPr>
          <w:sz w:val="20"/>
          <w:szCs w:val="20"/>
          <w:lang w:val="en-US"/>
        </w:rPr>
        <w:t xml:space="preserve"> In both cases, the UEs are uniformly dropped throughout the cell. </w:t>
      </w:r>
      <w:r w:rsidR="00FB4FAA">
        <w:rPr>
          <w:sz w:val="20"/>
          <w:szCs w:val="20"/>
          <w:lang w:val="en-US"/>
        </w:rPr>
        <w:t xml:space="preserve"> </w:t>
      </w:r>
      <w:r w:rsidR="006739CF">
        <w:rPr>
          <w:sz w:val="20"/>
          <w:szCs w:val="20"/>
          <w:lang w:val="en-US"/>
        </w:rPr>
        <w:fldChar w:fldCharType="begin"/>
      </w:r>
      <w:r w:rsidR="006739CF">
        <w:rPr>
          <w:sz w:val="20"/>
          <w:szCs w:val="20"/>
          <w:lang w:val="en-US"/>
        </w:rPr>
        <w:instrText xml:space="preserve"> REF _Ref513649257 \h  \* MERGEFORMAT </w:instrText>
      </w:r>
      <w:r w:rsidR="006739CF">
        <w:rPr>
          <w:sz w:val="20"/>
          <w:szCs w:val="20"/>
          <w:lang w:val="en-US"/>
        </w:rPr>
      </w:r>
      <w:r w:rsidR="006739CF">
        <w:rPr>
          <w:sz w:val="20"/>
          <w:szCs w:val="20"/>
          <w:lang w:val="en-US"/>
        </w:rPr>
        <w:fldChar w:fldCharType="separate"/>
      </w:r>
      <w:r w:rsidR="00A96559" w:rsidRPr="00272A7C">
        <w:rPr>
          <w:sz w:val="20"/>
          <w:szCs w:val="20"/>
          <w:lang w:val="en-US"/>
        </w:rPr>
        <w:t>Figure 1</w:t>
      </w:r>
      <w:r w:rsidR="006739CF">
        <w:rPr>
          <w:sz w:val="20"/>
          <w:szCs w:val="20"/>
          <w:lang w:val="en-US"/>
        </w:rPr>
        <w:fldChar w:fldCharType="end"/>
      </w:r>
      <w:r w:rsidR="006739CF">
        <w:rPr>
          <w:sz w:val="20"/>
          <w:szCs w:val="20"/>
          <w:lang w:val="en-US"/>
        </w:rPr>
        <w:t xml:space="preserve"> </w:t>
      </w:r>
      <w:r w:rsidR="00FB4FAA">
        <w:rPr>
          <w:sz w:val="20"/>
          <w:szCs w:val="20"/>
          <w:lang w:val="en-US"/>
        </w:rPr>
        <w:t xml:space="preserve">shows the SINR for </w:t>
      </w:r>
      <w:r w:rsidR="00C66D76">
        <w:rPr>
          <w:sz w:val="20"/>
          <w:szCs w:val="20"/>
          <w:lang w:val="en-US"/>
        </w:rPr>
        <w:t xml:space="preserve">access UEs using </w:t>
      </w:r>
      <w:r w:rsidR="00FB4FAA">
        <w:rPr>
          <w:sz w:val="20"/>
          <w:szCs w:val="20"/>
          <w:lang w:val="en-US"/>
        </w:rPr>
        <w:t>the described cases.</w:t>
      </w:r>
    </w:p>
    <w:p w14:paraId="11A4421F" w14:textId="658956C8" w:rsidR="00FB4FAA" w:rsidRDefault="00FB4FAA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6A959195" w14:textId="77777777" w:rsidR="00FB4FAA" w:rsidRDefault="00FB4FAA" w:rsidP="00FB4FAA">
      <w:pPr>
        <w:pStyle w:val="ListParagraph"/>
        <w:keepNext/>
        <w:ind w:left="0"/>
        <w:jc w:val="center"/>
      </w:pPr>
      <w:r>
        <w:rPr>
          <w:noProof/>
          <w:sz w:val="20"/>
          <w:szCs w:val="20"/>
          <w:lang w:val="en-US"/>
        </w:rPr>
        <w:drawing>
          <wp:inline distT="0" distB="0" distL="0" distR="0" wp14:anchorId="6A3760F6" wp14:editId="1DCD46C1">
            <wp:extent cx="5400000" cy="28702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-Hetrogenous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2" r="5695"/>
                    <a:stretch/>
                  </pic:blipFill>
                  <pic:spPr bwMode="auto">
                    <a:xfrm>
                      <a:off x="0" y="0"/>
                      <a:ext cx="5411947" cy="2876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D32759" w14:textId="2C75AC8B" w:rsidR="00FB4FAA" w:rsidRDefault="00FB4FAA" w:rsidP="00FB4FAA">
      <w:pPr>
        <w:pStyle w:val="Caption"/>
        <w:jc w:val="center"/>
        <w:rPr>
          <w:lang w:val="en-US"/>
        </w:rPr>
      </w:pPr>
      <w:bookmarkStart w:id="2" w:name="_Ref5136492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96559">
        <w:rPr>
          <w:noProof/>
        </w:rPr>
        <w:t>1</w:t>
      </w:r>
      <w:r>
        <w:fldChar w:fldCharType="end"/>
      </w:r>
      <w:bookmarkEnd w:id="2"/>
      <w:r>
        <w:t xml:space="preserve"> SINR distribution for Heterogenous IAB Scenarios</w:t>
      </w:r>
    </w:p>
    <w:p w14:paraId="3D798796" w14:textId="77777777" w:rsidR="00606731" w:rsidRPr="00124BA8" w:rsidRDefault="00606731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1FFD753E" w14:textId="2688701C" w:rsidR="006739CF" w:rsidRDefault="006739CF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136C1C">
        <w:rPr>
          <w:sz w:val="20"/>
          <w:szCs w:val="20"/>
          <w:lang w:val="en-US"/>
        </w:rPr>
        <w:lastRenderedPageBreak/>
        <w:t>For this analysis</w:t>
      </w:r>
      <w:r w:rsidR="00C66D76">
        <w:rPr>
          <w:sz w:val="20"/>
          <w:szCs w:val="20"/>
          <w:lang w:val="en-US"/>
        </w:rPr>
        <w:t>,</w:t>
      </w:r>
      <w:r w:rsidRPr="00136C1C">
        <w:rPr>
          <w:sz w:val="20"/>
          <w:szCs w:val="20"/>
          <w:lang w:val="en-US"/>
        </w:rPr>
        <w:t xml:space="preserve"> we define a coverage scenario where 5% </w:t>
      </w:r>
      <w:r w:rsidR="007B557D">
        <w:rPr>
          <w:sz w:val="20"/>
          <w:szCs w:val="20"/>
          <w:lang w:val="en-US"/>
        </w:rPr>
        <w:t>of the UEs do not meet</w:t>
      </w:r>
      <w:r w:rsidR="000110FC">
        <w:rPr>
          <w:sz w:val="20"/>
          <w:szCs w:val="20"/>
          <w:lang w:val="en-US"/>
        </w:rPr>
        <w:t xml:space="preserve"> the</w:t>
      </w:r>
      <w:r w:rsidR="007B557D">
        <w:rPr>
          <w:sz w:val="20"/>
          <w:szCs w:val="20"/>
          <w:lang w:val="en-US"/>
        </w:rPr>
        <w:t xml:space="preserve"> </w:t>
      </w:r>
      <w:r w:rsidRPr="00136C1C">
        <w:rPr>
          <w:sz w:val="20"/>
          <w:szCs w:val="20"/>
          <w:lang w:val="en-US"/>
        </w:rPr>
        <w:t>SINR needed to satisfy the IMT-2020 required cell edge</w:t>
      </w:r>
      <w:r w:rsidR="007B557D">
        <w:rPr>
          <w:sz w:val="20"/>
          <w:szCs w:val="20"/>
          <w:lang w:val="en-US"/>
        </w:rPr>
        <w:t xml:space="preserve"> spectral efficient </w:t>
      </w:r>
      <w:r w:rsidR="000110FC">
        <w:rPr>
          <w:sz w:val="20"/>
          <w:szCs w:val="20"/>
          <w:lang w:val="en-US"/>
        </w:rPr>
        <w:t xml:space="preserve">of </w:t>
      </w:r>
      <w:r w:rsidR="007B557D">
        <w:rPr>
          <w:sz w:val="20"/>
          <w:szCs w:val="20"/>
          <w:lang w:val="en-US"/>
        </w:rPr>
        <w:t>0.225 bits/Hz</w:t>
      </w:r>
      <w:r w:rsidRPr="00136C1C">
        <w:rPr>
          <w:sz w:val="20"/>
          <w:szCs w:val="20"/>
          <w:lang w:val="en-US"/>
        </w:rPr>
        <w:t>.</w:t>
      </w:r>
      <w:r w:rsidR="00C66D76">
        <w:rPr>
          <w:sz w:val="20"/>
          <w:szCs w:val="20"/>
          <w:lang w:val="en-US"/>
        </w:rPr>
        <w:t xml:space="preserve">  For the 2-stream transmission</w:t>
      </w:r>
      <w:r w:rsidR="004D406D">
        <w:rPr>
          <w:sz w:val="20"/>
          <w:szCs w:val="20"/>
          <w:lang w:val="en-US"/>
        </w:rPr>
        <w:t>,</w:t>
      </w:r>
      <w:r w:rsidR="00C66D76">
        <w:rPr>
          <w:sz w:val="20"/>
          <w:szCs w:val="20"/>
          <w:lang w:val="en-US"/>
        </w:rPr>
        <w:t xml:space="preserve"> with </w:t>
      </w:r>
      <w:r w:rsidR="007B557D">
        <w:rPr>
          <w:sz w:val="20"/>
          <w:szCs w:val="20"/>
          <w:lang w:val="en-US"/>
        </w:rPr>
        <w:t>resources</w:t>
      </w:r>
      <w:r w:rsidR="00C66D76">
        <w:rPr>
          <w:sz w:val="20"/>
          <w:szCs w:val="20"/>
          <w:lang w:val="en-US"/>
        </w:rPr>
        <w:t xml:space="preserve"> shared by 10 UEs, the estimated required cell edge SINR is estimated to be 3.5 dB.</w:t>
      </w:r>
    </w:p>
    <w:p w14:paraId="7938849D" w14:textId="084468A9" w:rsidR="00C66D76" w:rsidRDefault="00C66D76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436FC4FB" w14:textId="43F19313" w:rsidR="00C66D76" w:rsidRDefault="00A34EEB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>Observation 1:</w:t>
      </w:r>
      <w:r>
        <w:rPr>
          <w:sz w:val="20"/>
          <w:szCs w:val="20"/>
          <w:lang w:val="en-US"/>
        </w:rPr>
        <w:t xml:space="preserve"> </w:t>
      </w:r>
      <w:r w:rsidR="00C66D76">
        <w:rPr>
          <w:sz w:val="20"/>
          <w:szCs w:val="20"/>
          <w:lang w:val="en-US"/>
        </w:rPr>
        <w:t>The heterogeneous scenario with only macros</w:t>
      </w:r>
      <w:r>
        <w:rPr>
          <w:sz w:val="20"/>
          <w:szCs w:val="20"/>
          <w:lang w:val="en-US"/>
        </w:rPr>
        <w:t>—ISD=500, 80% indoor UEs—</w:t>
      </w:r>
      <w:r w:rsidR="00C66D76">
        <w:rPr>
          <w:sz w:val="20"/>
          <w:szCs w:val="20"/>
          <w:lang w:val="en-US"/>
        </w:rPr>
        <w:t>is coverage limited</w:t>
      </w:r>
      <w:r>
        <w:rPr>
          <w:sz w:val="20"/>
          <w:szCs w:val="20"/>
          <w:lang w:val="en-US"/>
        </w:rPr>
        <w:t xml:space="preserve"> with less 60% UEs achieving the target SINR</w:t>
      </w:r>
      <w:r w:rsidR="00C66D76">
        <w:rPr>
          <w:sz w:val="20"/>
          <w:szCs w:val="20"/>
          <w:lang w:val="en-US"/>
        </w:rPr>
        <w:t>.</w:t>
      </w:r>
    </w:p>
    <w:p w14:paraId="37ED8678" w14:textId="2E4C74D3" w:rsidR="00C66D76" w:rsidRDefault="00C66D76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462A8437" w14:textId="44315C8A" w:rsidR="00C66D76" w:rsidRDefault="00C66D76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>Observation 2:</w:t>
      </w:r>
      <w:r>
        <w:rPr>
          <w:sz w:val="20"/>
          <w:szCs w:val="20"/>
          <w:lang w:val="en-US"/>
        </w:rPr>
        <w:t xml:space="preserve"> The heterogeneous scenario—ISD=500, </w:t>
      </w:r>
      <w:r w:rsidR="00A34EEB">
        <w:rPr>
          <w:sz w:val="20"/>
          <w:szCs w:val="20"/>
          <w:lang w:val="en-US"/>
        </w:rPr>
        <w:t xml:space="preserve">80% indoor </w:t>
      </w:r>
      <w:r>
        <w:rPr>
          <w:sz w:val="20"/>
          <w:szCs w:val="20"/>
          <w:lang w:val="en-US"/>
        </w:rPr>
        <w:t>UEs—achieves coverage when 63 IAB nodes are added</w:t>
      </w:r>
      <w:r w:rsidR="00A34EEB">
        <w:rPr>
          <w:sz w:val="20"/>
          <w:szCs w:val="20"/>
          <w:lang w:val="en-US"/>
        </w:rPr>
        <w:t>.</w:t>
      </w:r>
    </w:p>
    <w:p w14:paraId="6688ABFC" w14:textId="243AC621" w:rsidR="00A34EEB" w:rsidRDefault="00A34EEB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25965091" w14:textId="607F5F6F" w:rsidR="00A34EEB" w:rsidRDefault="00A34EEB" w:rsidP="00A34EEB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 xml:space="preserve">Observation </w:t>
      </w:r>
      <w:r>
        <w:rPr>
          <w:b/>
          <w:sz w:val="20"/>
          <w:szCs w:val="20"/>
          <w:lang w:val="en-US"/>
        </w:rPr>
        <w:t>3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heterogeneous scenario with only macros—</w:t>
      </w:r>
      <w:r w:rsidRPr="00A34EEB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ISD=1732, 100% outdoor UEs —is coverage limited with less than 85% UEs achieving the target SINR.</w:t>
      </w:r>
    </w:p>
    <w:p w14:paraId="41BAD049" w14:textId="77777777" w:rsidR="00A34EEB" w:rsidRDefault="00A34EEB" w:rsidP="00A34EEB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21A65365" w14:textId="2BF9651F" w:rsidR="00A34EEB" w:rsidRPr="00136C1C" w:rsidRDefault="00A34EEB" w:rsidP="00A34EEB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Observation 4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heterogeneous scenario—ISD=1732, 100% outdoor UEs—easily achieves coverage when 63 IAB nodes are added.</w:t>
      </w:r>
    </w:p>
    <w:p w14:paraId="7DCFA2D2" w14:textId="77777777" w:rsidR="00A34EEB" w:rsidRPr="00136C1C" w:rsidRDefault="00A34EEB" w:rsidP="00606731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4016FE0A" w14:textId="77777777" w:rsidR="006739CF" w:rsidRDefault="006739CF" w:rsidP="00606731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7A536087" w14:textId="4AE0097D" w:rsidR="00606731" w:rsidRDefault="00606731" w:rsidP="00606731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 w:rsidRPr="005D55FF">
        <w:rPr>
          <w:b/>
          <w:sz w:val="20"/>
          <w:szCs w:val="20"/>
          <w:lang w:val="en-US"/>
        </w:rPr>
        <w:t xml:space="preserve">Proposal </w:t>
      </w:r>
      <w:r w:rsidR="00A34EEB">
        <w:rPr>
          <w:b/>
          <w:sz w:val="20"/>
          <w:szCs w:val="20"/>
          <w:lang w:val="en-US"/>
        </w:rPr>
        <w:t>1: It is sufficient to have one heterogeneous scenario with ISD=500.</w:t>
      </w:r>
    </w:p>
    <w:p w14:paraId="0FD8DED3" w14:textId="0DE8F309" w:rsidR="00A34EEB" w:rsidRDefault="00A34EEB" w:rsidP="00606731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3CC06474" w14:textId="7394D1AD" w:rsidR="00A34EEB" w:rsidRPr="005D55FF" w:rsidRDefault="00A34EEB" w:rsidP="00606731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Proposal 2: A uniform dropping criteria should be used </w:t>
      </w:r>
      <w:r w:rsidR="00335606">
        <w:rPr>
          <w:b/>
          <w:sz w:val="20"/>
          <w:szCs w:val="20"/>
          <w:lang w:val="en-US"/>
        </w:rPr>
        <w:t>for</w:t>
      </w:r>
      <w:r>
        <w:rPr>
          <w:b/>
          <w:sz w:val="20"/>
          <w:szCs w:val="20"/>
          <w:lang w:val="en-US"/>
        </w:rPr>
        <w:t xml:space="preserve"> the UEs in the heterogeneous scenario</w:t>
      </w:r>
    </w:p>
    <w:bookmarkEnd w:id="1"/>
    <w:p w14:paraId="0932D19A" w14:textId="4CE006DB" w:rsidR="00EC4DEE" w:rsidRPr="00606731" w:rsidRDefault="00EC4DEE" w:rsidP="00EC4DEE">
      <w:pPr>
        <w:spacing w:after="0"/>
        <w:rPr>
          <w:rFonts w:eastAsia="MS Mincho"/>
          <w:lang w:eastAsia="ja-JP"/>
        </w:rPr>
      </w:pPr>
    </w:p>
    <w:p w14:paraId="25A072E5" w14:textId="0932D91A" w:rsidR="00DB7641" w:rsidRDefault="006901CD" w:rsidP="00DB7641">
      <w:pPr>
        <w:pStyle w:val="Heading2"/>
        <w:rPr>
          <w:lang w:val="en-US"/>
        </w:rPr>
      </w:pPr>
      <w:r>
        <w:rPr>
          <w:lang w:val="en-US"/>
        </w:rPr>
        <w:t>2.2</w:t>
      </w:r>
      <w:r w:rsidR="00DB7641">
        <w:rPr>
          <w:lang w:val="en-US"/>
        </w:rPr>
        <w:tab/>
      </w:r>
      <w:r w:rsidR="00F4031F">
        <w:rPr>
          <w:lang w:val="en-US"/>
        </w:rPr>
        <w:t>Homogeneous IAB Scenario</w:t>
      </w:r>
    </w:p>
    <w:p w14:paraId="31155317" w14:textId="35398676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 w:rsidRPr="00A34EEB">
        <w:rPr>
          <w:lang w:val="en-US" w:eastAsia="zh-CN"/>
        </w:rPr>
        <w:t xml:space="preserve">In this section, we examine the SINR distribution for the </w:t>
      </w:r>
      <w:r>
        <w:rPr>
          <w:lang w:val="en-US" w:eastAsia="zh-CN"/>
        </w:rPr>
        <w:t>19 site</w:t>
      </w:r>
      <w:r w:rsidRPr="00A34EEB">
        <w:rPr>
          <w:lang w:val="en-US" w:eastAsia="zh-CN"/>
        </w:rPr>
        <w:t xml:space="preserve"> macro</w:t>
      </w:r>
      <w:r>
        <w:rPr>
          <w:lang w:val="en-US" w:eastAsia="zh-CN"/>
        </w:rPr>
        <w:t xml:space="preserve"> network with limited fiber availability (e.g. a sparse fiber scenario).   The baseline cases of 1, 3 and 7 fiber connected nodes are examined. </w:t>
      </w:r>
      <w:r w:rsidR="00335606">
        <w:rPr>
          <w:lang w:val="en-US" w:eastAsia="zh-CN"/>
        </w:rPr>
        <w:t xml:space="preserve"> </w:t>
      </w:r>
      <w:r w:rsidR="000110FC">
        <w:rPr>
          <w:lang w:val="en-US" w:eastAsia="zh-CN"/>
        </w:rPr>
        <w:t xml:space="preserve">In addition, a full IAB scenario is modeled by fully populated 19 cell system. </w:t>
      </w:r>
      <w:r w:rsidR="00335606">
        <w:rPr>
          <w:lang w:val="en-US" w:eastAsia="zh-CN"/>
        </w:rPr>
        <w:t xml:space="preserve"> The ISD=200m as agreed.</w:t>
      </w:r>
      <w:r>
        <w:rPr>
          <w:lang w:val="en-US" w:eastAsia="zh-CN"/>
        </w:rPr>
        <w:t xml:space="preserve"> </w:t>
      </w:r>
      <w:r w:rsidRPr="00A34EEB">
        <w:rPr>
          <w:lang w:val="en-US" w:eastAsia="zh-CN"/>
        </w:rPr>
        <w:t xml:space="preserve"> </w:t>
      </w:r>
      <w:r w:rsidR="00335606">
        <w:rPr>
          <w:lang w:val="en-US" w:eastAsia="zh-CN"/>
        </w:rPr>
        <w:t>As in the previous section, t</w:t>
      </w:r>
      <w:r w:rsidRPr="00A34EEB">
        <w:rPr>
          <w:lang w:val="en-US" w:eastAsia="zh-CN"/>
        </w:rPr>
        <w:t xml:space="preserve">he SINR for access UEs is presented for two UE dropping ratios: 100% outdoor and 80% indoor.  </w:t>
      </w:r>
      <w:r w:rsidRPr="00A34EEB">
        <w:rPr>
          <w:lang w:val="en-US" w:eastAsia="zh-CN"/>
        </w:rPr>
        <w:fldChar w:fldCharType="begin"/>
      </w:r>
      <w:r w:rsidRPr="00A34EEB">
        <w:rPr>
          <w:lang w:val="en-US" w:eastAsia="zh-CN"/>
        </w:rPr>
        <w:instrText xml:space="preserve"> REF _Ref513649257 \h  \* MERGEFORMAT </w:instrText>
      </w:r>
      <w:r w:rsidRPr="00A34EEB">
        <w:rPr>
          <w:lang w:val="en-US" w:eastAsia="zh-CN"/>
        </w:rPr>
      </w:r>
      <w:r w:rsidRPr="00A34EEB">
        <w:rPr>
          <w:lang w:val="en-US" w:eastAsia="zh-CN"/>
        </w:rPr>
        <w:fldChar w:fldCharType="separate"/>
      </w:r>
      <w:r w:rsidR="00A96559" w:rsidRPr="00272A7C">
        <w:rPr>
          <w:lang w:val="en-US" w:eastAsia="zh-CN"/>
        </w:rPr>
        <w:t>Figure 1</w:t>
      </w:r>
      <w:r w:rsidRPr="00A34EEB">
        <w:rPr>
          <w:lang w:val="en-US" w:eastAsia="zh-CN"/>
        </w:rPr>
        <w:fldChar w:fldCharType="end"/>
      </w:r>
      <w:r w:rsidRPr="00A34EEB">
        <w:rPr>
          <w:lang w:val="en-US" w:eastAsia="zh-CN"/>
        </w:rPr>
        <w:t xml:space="preserve"> shows the SINR for access UEs using the described cases.</w:t>
      </w:r>
    </w:p>
    <w:p w14:paraId="1A215CA5" w14:textId="7777777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0CEBDDC4" w14:textId="77777777" w:rsidR="00A34EEB" w:rsidRPr="00A34EEB" w:rsidRDefault="00A34EEB" w:rsidP="00A34EEB">
      <w:pPr>
        <w:keepNext/>
        <w:overflowPunct/>
        <w:autoSpaceDE/>
        <w:autoSpaceDN/>
        <w:adjustRightInd/>
        <w:spacing w:after="0"/>
        <w:contextualSpacing/>
        <w:jc w:val="center"/>
        <w:textAlignment w:val="auto"/>
        <w:rPr>
          <w:sz w:val="24"/>
          <w:szCs w:val="24"/>
          <w:lang w:val="fi-FI" w:eastAsia="zh-CN"/>
        </w:rPr>
      </w:pPr>
      <w:r w:rsidRPr="00A34EEB">
        <w:rPr>
          <w:noProof/>
          <w:lang w:val="en-US" w:eastAsia="zh-CN"/>
        </w:rPr>
        <w:drawing>
          <wp:inline distT="0" distB="0" distL="0" distR="0" wp14:anchorId="695C1318" wp14:editId="468FF16C">
            <wp:extent cx="5400000" cy="2926800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-Hetrogenous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3" r="6639"/>
                    <a:stretch/>
                  </pic:blipFill>
                  <pic:spPr bwMode="auto">
                    <a:xfrm>
                      <a:off x="0" y="0"/>
                      <a:ext cx="5400000" cy="292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A7680B" w14:textId="53F08D0D" w:rsidR="00A34EEB" w:rsidRPr="00A34EEB" w:rsidRDefault="00A34EEB" w:rsidP="00A34EEB">
      <w:pPr>
        <w:spacing w:before="120" w:after="120"/>
        <w:jc w:val="center"/>
        <w:rPr>
          <w:b/>
          <w:lang w:val="en-US"/>
        </w:rPr>
      </w:pPr>
      <w:r w:rsidRPr="00A34EEB">
        <w:rPr>
          <w:b/>
        </w:rPr>
        <w:t xml:space="preserve">Figure </w:t>
      </w:r>
      <w:r w:rsidRPr="00A34EEB">
        <w:rPr>
          <w:b/>
        </w:rPr>
        <w:fldChar w:fldCharType="begin"/>
      </w:r>
      <w:r w:rsidRPr="00A34EEB">
        <w:rPr>
          <w:b/>
        </w:rPr>
        <w:instrText xml:space="preserve"> SEQ Figure \* ARABIC </w:instrText>
      </w:r>
      <w:r w:rsidRPr="00A34EEB">
        <w:rPr>
          <w:b/>
        </w:rPr>
        <w:fldChar w:fldCharType="separate"/>
      </w:r>
      <w:r w:rsidR="00A96559">
        <w:rPr>
          <w:b/>
          <w:noProof/>
        </w:rPr>
        <w:t>2</w:t>
      </w:r>
      <w:r w:rsidRPr="00A34EEB">
        <w:rPr>
          <w:b/>
        </w:rPr>
        <w:fldChar w:fldCharType="end"/>
      </w:r>
      <w:r w:rsidRPr="00A34EEB">
        <w:rPr>
          <w:b/>
        </w:rPr>
        <w:t xml:space="preserve"> SINR distribution for H</w:t>
      </w:r>
      <w:r w:rsidR="00335606">
        <w:rPr>
          <w:b/>
        </w:rPr>
        <w:t>omogenous</w:t>
      </w:r>
      <w:r w:rsidRPr="00A34EEB">
        <w:rPr>
          <w:b/>
        </w:rPr>
        <w:t xml:space="preserve"> IAB Scenarios</w:t>
      </w:r>
    </w:p>
    <w:p w14:paraId="644F3E8B" w14:textId="7777777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4F1F3E73" w14:textId="11754B46" w:rsidR="00A34EEB" w:rsidRPr="00A34EEB" w:rsidRDefault="007B557D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As previous section, we will define the coverage scenario where 95% of the UE achieve the estimated target access SINR of 3.5 dB.</w:t>
      </w:r>
    </w:p>
    <w:p w14:paraId="7CABA774" w14:textId="7777777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6043F9A3" w14:textId="0F7B0BAA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 w:rsidRPr="00A34EEB">
        <w:rPr>
          <w:b/>
          <w:lang w:val="en-US" w:eastAsia="zh-CN"/>
        </w:rPr>
        <w:t xml:space="preserve">Observation </w:t>
      </w:r>
      <w:r w:rsidR="009649AA">
        <w:rPr>
          <w:b/>
          <w:lang w:val="en-US" w:eastAsia="zh-CN"/>
        </w:rPr>
        <w:t>5</w:t>
      </w:r>
      <w:r w:rsidRPr="00A34EEB">
        <w:rPr>
          <w:b/>
          <w:lang w:val="en-US" w:eastAsia="zh-CN"/>
        </w:rPr>
        <w:t>:</w:t>
      </w:r>
      <w:r w:rsidRPr="00A34EEB">
        <w:rPr>
          <w:lang w:val="en-US" w:eastAsia="zh-CN"/>
        </w:rPr>
        <w:t xml:space="preserve"> The </w:t>
      </w:r>
      <w:r w:rsidR="007B557D">
        <w:rPr>
          <w:lang w:val="en-US" w:eastAsia="zh-CN"/>
        </w:rPr>
        <w:t>homogenous</w:t>
      </w:r>
      <w:r w:rsidRPr="00A34EEB">
        <w:rPr>
          <w:lang w:val="en-US" w:eastAsia="zh-CN"/>
        </w:rPr>
        <w:t xml:space="preserve"> scenario with</w:t>
      </w:r>
      <w:r w:rsidR="007B557D">
        <w:rPr>
          <w:lang w:val="en-US" w:eastAsia="zh-CN"/>
        </w:rPr>
        <w:t>out IAB nodes</w:t>
      </w:r>
      <w:r w:rsidRPr="00A34EEB">
        <w:rPr>
          <w:lang w:val="en-US" w:eastAsia="zh-CN"/>
        </w:rPr>
        <w:t>—ISD=</w:t>
      </w:r>
      <w:r w:rsidR="007B557D">
        <w:rPr>
          <w:lang w:val="en-US" w:eastAsia="zh-CN"/>
        </w:rPr>
        <w:t>2</w:t>
      </w:r>
      <w:r w:rsidRPr="00A34EEB">
        <w:rPr>
          <w:lang w:val="en-US" w:eastAsia="zh-CN"/>
        </w:rPr>
        <w:t>00</w:t>
      </w:r>
      <w:r w:rsidR="009649AA">
        <w:rPr>
          <w:lang w:val="en-US" w:eastAsia="zh-CN"/>
        </w:rPr>
        <w:t>m</w:t>
      </w:r>
      <w:r w:rsidRPr="00A34EEB">
        <w:rPr>
          <w:lang w:val="en-US" w:eastAsia="zh-CN"/>
        </w:rPr>
        <w:t xml:space="preserve">, 80% indoor UEs—is coverage limited </w:t>
      </w:r>
      <w:r w:rsidR="007B557D">
        <w:rPr>
          <w:lang w:val="en-US" w:eastAsia="zh-CN"/>
        </w:rPr>
        <w:t>when only 1, 3 and 7 fiber node</w:t>
      </w:r>
      <w:r w:rsidR="009649AA">
        <w:rPr>
          <w:lang w:val="en-US" w:eastAsia="zh-CN"/>
        </w:rPr>
        <w:t>s</w:t>
      </w:r>
      <w:r w:rsidR="007B557D">
        <w:rPr>
          <w:lang w:val="en-US" w:eastAsia="zh-CN"/>
        </w:rPr>
        <w:t xml:space="preserve"> are available.</w:t>
      </w:r>
    </w:p>
    <w:p w14:paraId="2ACCBCA8" w14:textId="7777777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0B6E35BA" w14:textId="591FEBA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 w:rsidRPr="00A34EEB">
        <w:rPr>
          <w:b/>
          <w:lang w:val="en-US" w:eastAsia="zh-CN"/>
        </w:rPr>
        <w:t xml:space="preserve">Observation </w:t>
      </w:r>
      <w:r w:rsidR="009649AA">
        <w:rPr>
          <w:b/>
          <w:lang w:val="en-US" w:eastAsia="zh-CN"/>
        </w:rPr>
        <w:t>6</w:t>
      </w:r>
      <w:r w:rsidRPr="00A34EEB">
        <w:rPr>
          <w:b/>
          <w:lang w:val="en-US" w:eastAsia="zh-CN"/>
        </w:rPr>
        <w:t>:</w:t>
      </w:r>
      <w:r w:rsidRPr="00A34EEB">
        <w:rPr>
          <w:lang w:val="en-US" w:eastAsia="zh-CN"/>
        </w:rPr>
        <w:t xml:space="preserve"> The </w:t>
      </w:r>
      <w:r w:rsidR="007B557D">
        <w:rPr>
          <w:lang w:val="en-US" w:eastAsia="zh-CN"/>
        </w:rPr>
        <w:t>homogenous</w:t>
      </w:r>
      <w:r w:rsidRPr="00A34EEB">
        <w:rPr>
          <w:lang w:val="en-US" w:eastAsia="zh-CN"/>
        </w:rPr>
        <w:t xml:space="preserve"> scenario</w:t>
      </w:r>
      <w:r w:rsidR="009649AA">
        <w:rPr>
          <w:lang w:val="en-US" w:eastAsia="zh-CN"/>
        </w:rPr>
        <w:t xml:space="preserve"> with 19 nodes</w:t>
      </w:r>
      <w:r w:rsidRPr="00A34EEB">
        <w:rPr>
          <w:lang w:val="en-US" w:eastAsia="zh-CN"/>
        </w:rPr>
        <w:t>—ISD=</w:t>
      </w:r>
      <w:r w:rsidR="007B557D">
        <w:rPr>
          <w:lang w:val="en-US" w:eastAsia="zh-CN"/>
        </w:rPr>
        <w:t>2</w:t>
      </w:r>
      <w:r w:rsidRPr="00A34EEB">
        <w:rPr>
          <w:lang w:val="en-US" w:eastAsia="zh-CN"/>
        </w:rPr>
        <w:t>00</w:t>
      </w:r>
      <w:r w:rsidR="009649AA">
        <w:rPr>
          <w:lang w:val="en-US" w:eastAsia="zh-CN"/>
        </w:rPr>
        <w:t>m</w:t>
      </w:r>
      <w:r w:rsidRPr="00A34EEB">
        <w:rPr>
          <w:lang w:val="en-US" w:eastAsia="zh-CN"/>
        </w:rPr>
        <w:t>, 80% indoor UEs—</w:t>
      </w:r>
      <w:r w:rsidR="007B557D">
        <w:rPr>
          <w:lang w:val="en-US" w:eastAsia="zh-CN"/>
        </w:rPr>
        <w:t>comes close, but</w:t>
      </w:r>
      <w:r w:rsidR="009649AA">
        <w:rPr>
          <w:lang w:val="en-US" w:eastAsia="zh-CN"/>
        </w:rPr>
        <w:t xml:space="preserve"> does not quite achieve coverage.</w:t>
      </w:r>
    </w:p>
    <w:p w14:paraId="6104597E" w14:textId="48EC439C" w:rsidR="00A34EEB" w:rsidRPr="00A34EEB" w:rsidRDefault="009649AA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>
        <w:rPr>
          <w:b/>
          <w:lang w:val="en-US" w:eastAsia="zh-CN"/>
        </w:rPr>
        <w:lastRenderedPageBreak/>
        <w:t>O</w:t>
      </w:r>
      <w:r w:rsidR="00A34EEB" w:rsidRPr="00A34EEB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7</w:t>
      </w:r>
      <w:r w:rsidR="00A34EEB" w:rsidRPr="00A34EEB">
        <w:rPr>
          <w:b/>
          <w:lang w:val="en-US" w:eastAsia="zh-CN"/>
        </w:rPr>
        <w:t>:</w:t>
      </w:r>
      <w:r w:rsidR="00A34EEB" w:rsidRPr="00A34EEB">
        <w:rPr>
          <w:lang w:val="en-US" w:eastAsia="zh-CN"/>
        </w:rPr>
        <w:t xml:space="preserve"> The </w:t>
      </w:r>
      <w:r>
        <w:rPr>
          <w:lang w:val="en-US" w:eastAsia="zh-CN"/>
        </w:rPr>
        <w:t>homogeneous</w:t>
      </w:r>
      <w:r w:rsidR="00A34EEB" w:rsidRPr="00A34EEB">
        <w:rPr>
          <w:lang w:val="en-US" w:eastAsia="zh-CN"/>
        </w:rPr>
        <w:t xml:space="preserve"> </w:t>
      </w:r>
      <w:r>
        <w:rPr>
          <w:lang w:val="en-US" w:eastAsia="zh-CN"/>
        </w:rPr>
        <w:t>scenario</w:t>
      </w:r>
      <w:r w:rsidR="00A34EEB" w:rsidRPr="00A34EEB">
        <w:rPr>
          <w:lang w:val="en-US" w:eastAsia="zh-CN"/>
        </w:rPr>
        <w:t>— ISD=</w:t>
      </w:r>
      <w:r>
        <w:rPr>
          <w:lang w:val="en-US" w:eastAsia="zh-CN"/>
        </w:rPr>
        <w:t>200m,</w:t>
      </w:r>
      <w:r w:rsidR="00A34EEB" w:rsidRPr="00A34EEB">
        <w:rPr>
          <w:lang w:val="en-US" w:eastAsia="zh-CN"/>
        </w:rPr>
        <w:t xml:space="preserve"> 100% outdoor UEs —</w:t>
      </w:r>
      <w:r>
        <w:rPr>
          <w:lang w:val="en-US" w:eastAsia="zh-CN"/>
        </w:rPr>
        <w:t>achieves coverage for 3, 7 and 19 fiber connected nodes and nearly for only 1 fiber connected node</w:t>
      </w:r>
      <w:r w:rsidR="00A34EEB" w:rsidRPr="00A34EEB">
        <w:rPr>
          <w:lang w:val="en-US" w:eastAsia="zh-CN"/>
        </w:rPr>
        <w:t>.</w:t>
      </w:r>
    </w:p>
    <w:p w14:paraId="284713C2" w14:textId="7777777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49CDBB43" w14:textId="601B8471" w:rsid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  <w:r w:rsidRPr="00A34EEB">
        <w:rPr>
          <w:b/>
          <w:lang w:val="en-US" w:eastAsia="zh-CN"/>
        </w:rPr>
        <w:t xml:space="preserve">Proposal </w:t>
      </w:r>
      <w:r w:rsidR="009649AA">
        <w:rPr>
          <w:b/>
          <w:lang w:val="en-US" w:eastAsia="zh-CN"/>
        </w:rPr>
        <w:t>3</w:t>
      </w:r>
      <w:r w:rsidRPr="00A34EEB">
        <w:rPr>
          <w:b/>
          <w:lang w:val="en-US" w:eastAsia="zh-CN"/>
        </w:rPr>
        <w:t xml:space="preserve">: </w:t>
      </w:r>
      <w:r w:rsidR="009649AA">
        <w:rPr>
          <w:b/>
          <w:lang w:val="en-US" w:eastAsia="zh-CN"/>
        </w:rPr>
        <w:t>The 200m ISD selected for the homogenous case should be reconsidered</w:t>
      </w:r>
    </w:p>
    <w:p w14:paraId="1AB4BA6B" w14:textId="22606CC5" w:rsidR="00A96559" w:rsidRDefault="00A96559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432FA42C" w14:textId="7E0EF06C" w:rsidR="00A96559" w:rsidRDefault="00A96559" w:rsidP="00A9655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_Ref513725194 \h 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272A7C">
        <w:rPr>
          <w:lang w:val="en-US" w:eastAsia="zh-CN"/>
        </w:rPr>
        <w:t>Figure 3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Pr="00A34EEB">
        <w:rPr>
          <w:lang w:val="en-US" w:eastAsia="zh-CN"/>
        </w:rPr>
        <w:t xml:space="preserve">shows the SINR for access UEs </w:t>
      </w:r>
      <w:r>
        <w:rPr>
          <w:lang w:val="en-US" w:eastAsia="zh-CN"/>
        </w:rPr>
        <w:t>for the homogenous deployments with ISD=100m for 80% indoor UEs and ISD=500m for 100% outdoor UEs.</w:t>
      </w:r>
    </w:p>
    <w:p w14:paraId="16DF952E" w14:textId="1A6ABFA2" w:rsidR="00A96559" w:rsidRDefault="00A96559" w:rsidP="00A9655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152B4256" w14:textId="375F00EB" w:rsidR="00A96559" w:rsidRPr="00A34EEB" w:rsidRDefault="00A96559" w:rsidP="00A96559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379CA9E5" w14:textId="77777777" w:rsidR="00A96559" w:rsidRPr="00A34EEB" w:rsidRDefault="00A96559" w:rsidP="00A96559">
      <w:pPr>
        <w:keepNext/>
        <w:overflowPunct/>
        <w:autoSpaceDE/>
        <w:autoSpaceDN/>
        <w:adjustRightInd/>
        <w:spacing w:after="0"/>
        <w:contextualSpacing/>
        <w:jc w:val="center"/>
        <w:textAlignment w:val="auto"/>
        <w:rPr>
          <w:sz w:val="24"/>
          <w:szCs w:val="24"/>
          <w:lang w:val="fi-FI" w:eastAsia="zh-CN"/>
        </w:rPr>
      </w:pPr>
      <w:r w:rsidRPr="00A34EEB">
        <w:rPr>
          <w:noProof/>
          <w:lang w:val="en-US" w:eastAsia="zh-CN"/>
        </w:rPr>
        <w:drawing>
          <wp:inline distT="0" distB="0" distL="0" distR="0" wp14:anchorId="644D009A" wp14:editId="75B4A738">
            <wp:extent cx="5400000" cy="291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-Hetrogenous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3" r="6443"/>
                    <a:stretch/>
                  </pic:blipFill>
                  <pic:spPr bwMode="auto">
                    <a:xfrm>
                      <a:off x="0" y="0"/>
                      <a:ext cx="5400000" cy="291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2E8911" w14:textId="654B9104" w:rsidR="00A96559" w:rsidRPr="00A34EEB" w:rsidRDefault="00A96559" w:rsidP="00A96559">
      <w:pPr>
        <w:spacing w:before="120" w:after="120"/>
        <w:jc w:val="center"/>
        <w:rPr>
          <w:b/>
          <w:lang w:val="en-US"/>
        </w:rPr>
      </w:pPr>
      <w:bookmarkStart w:id="3" w:name="_Ref513725194"/>
      <w:r w:rsidRPr="00A34EEB">
        <w:rPr>
          <w:b/>
        </w:rPr>
        <w:t xml:space="preserve">Figure </w:t>
      </w:r>
      <w:r w:rsidRPr="00A34EEB">
        <w:rPr>
          <w:b/>
        </w:rPr>
        <w:fldChar w:fldCharType="begin"/>
      </w:r>
      <w:r w:rsidRPr="00A34EEB">
        <w:rPr>
          <w:b/>
        </w:rPr>
        <w:instrText xml:space="preserve"> SEQ Figure \* ARABIC </w:instrText>
      </w:r>
      <w:r w:rsidRPr="00A34EEB">
        <w:rPr>
          <w:b/>
        </w:rPr>
        <w:fldChar w:fldCharType="separate"/>
      </w:r>
      <w:r>
        <w:rPr>
          <w:b/>
          <w:noProof/>
        </w:rPr>
        <w:t>3</w:t>
      </w:r>
      <w:r w:rsidRPr="00A34EEB">
        <w:rPr>
          <w:b/>
        </w:rPr>
        <w:fldChar w:fldCharType="end"/>
      </w:r>
      <w:bookmarkEnd w:id="3"/>
      <w:r w:rsidRPr="00A34EEB">
        <w:rPr>
          <w:b/>
        </w:rPr>
        <w:t xml:space="preserve"> SINR distribution for H</w:t>
      </w:r>
      <w:r>
        <w:rPr>
          <w:b/>
        </w:rPr>
        <w:t>omogenous</w:t>
      </w:r>
      <w:r w:rsidRPr="00A34EEB">
        <w:rPr>
          <w:b/>
        </w:rPr>
        <w:t xml:space="preserve"> IAB Scenarios</w:t>
      </w:r>
    </w:p>
    <w:p w14:paraId="6839897F" w14:textId="77777777" w:rsidR="00A96559" w:rsidRPr="00A34EEB" w:rsidRDefault="00A96559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62DB8B4D" w14:textId="2E7FFB8B" w:rsidR="00476BB0" w:rsidRDefault="00476BB0" w:rsidP="00476BB0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 xml:space="preserve">Observation </w:t>
      </w:r>
      <w:r>
        <w:rPr>
          <w:b/>
          <w:sz w:val="20"/>
          <w:szCs w:val="20"/>
          <w:lang w:val="en-US"/>
        </w:rPr>
        <w:t>8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homogeneous scenario—ISD=100, 80% indoor UEs—achieves coverage with 19 sites.</w:t>
      </w:r>
    </w:p>
    <w:p w14:paraId="7EE1C20F" w14:textId="35DEACFD" w:rsidR="00FC1C31" w:rsidRDefault="00FC1C31" w:rsidP="00476BB0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2525FC29" w14:textId="0AA7EB9A" w:rsidR="00FC1C31" w:rsidRDefault="00FC1C31" w:rsidP="00FC1C31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 xml:space="preserve">Observation </w:t>
      </w:r>
      <w:r>
        <w:rPr>
          <w:b/>
          <w:sz w:val="20"/>
          <w:szCs w:val="20"/>
          <w:lang w:val="en-US"/>
        </w:rPr>
        <w:t>9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homogeneous scenario—ISD=500, 100% outdoor UEs—achieves coverage with 19 sites.</w:t>
      </w:r>
    </w:p>
    <w:p w14:paraId="0869EDFC" w14:textId="67062E49" w:rsidR="00476BB0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734B3FD3" w14:textId="69691DBE" w:rsidR="00476BB0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  <w:r w:rsidRPr="00A34EEB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A34EEB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The ISD=100m should replace ISD=200m for the homogenous case.</w:t>
      </w:r>
    </w:p>
    <w:p w14:paraId="7495E59C" w14:textId="77777777" w:rsidR="00A34EEB" w:rsidRPr="00A34EEB" w:rsidRDefault="00A34EEB" w:rsidP="00A34EE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0D827FAF" w14:textId="6E9EC3AB" w:rsidR="0034111C" w:rsidRPr="00A51522" w:rsidRDefault="005E7117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D43B03D" w14:textId="1E4DEE69" w:rsidR="00377DED" w:rsidRDefault="004D406D" w:rsidP="008A215D">
      <w:pPr>
        <w:spacing w:after="120"/>
        <w:jc w:val="both"/>
        <w:rPr>
          <w:bCs/>
        </w:rPr>
      </w:pPr>
      <w:r>
        <w:t>This contribution has examined the coverage improvement achieved with node densification in the homogeneous and heterogeneous IAB scenarios</w:t>
      </w:r>
      <w:r w:rsidR="00CA6426">
        <w:rPr>
          <w:bCs/>
        </w:rPr>
        <w:t>. Main observations and proposals we have are:</w:t>
      </w:r>
    </w:p>
    <w:p w14:paraId="4BB0443B" w14:textId="77777777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>Observation 1:</w:t>
      </w:r>
      <w:r>
        <w:rPr>
          <w:sz w:val="20"/>
          <w:szCs w:val="20"/>
          <w:lang w:val="en-US"/>
        </w:rPr>
        <w:t xml:space="preserve"> The heterogeneous scenario with only macros—ISD=500, 80% indoor UEs—is coverage limited with less 60% UEs achieving the target SINR.</w:t>
      </w:r>
    </w:p>
    <w:p w14:paraId="443655EA" w14:textId="77777777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738ABA9C" w14:textId="77777777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>Observation 2:</w:t>
      </w:r>
      <w:r>
        <w:rPr>
          <w:sz w:val="20"/>
          <w:szCs w:val="20"/>
          <w:lang w:val="en-US"/>
        </w:rPr>
        <w:t xml:space="preserve"> The heterogeneous scenario—ISD=500, 80% indoor UEs—achieves coverage when 63 IAB nodes are added.</w:t>
      </w:r>
    </w:p>
    <w:p w14:paraId="2C25F340" w14:textId="77777777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46F1AC66" w14:textId="77777777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 xml:space="preserve">Observation </w:t>
      </w:r>
      <w:r>
        <w:rPr>
          <w:b/>
          <w:sz w:val="20"/>
          <w:szCs w:val="20"/>
          <w:lang w:val="en-US"/>
        </w:rPr>
        <w:t>3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heterogeneous scenario with only macros—</w:t>
      </w:r>
      <w:r w:rsidRPr="00A34EEB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ISD=1732, 100% outdoor UEs —is coverage limited with less than 85% UEs achieving the target SINR.</w:t>
      </w:r>
    </w:p>
    <w:p w14:paraId="406FB034" w14:textId="77777777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17C78AFE" w14:textId="5B507EAE" w:rsidR="00E664F4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Observation 4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heterogeneous scenario—ISD=1732, 100% outdoor UEs—easily achieves coverage when 63 IAB nodes are added.</w:t>
      </w:r>
    </w:p>
    <w:p w14:paraId="3A18C7E1" w14:textId="5BBDA918" w:rsidR="00476BB0" w:rsidRDefault="00476BB0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078245EF" w14:textId="77777777" w:rsidR="00476BB0" w:rsidRPr="00A34EEB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 w:rsidRPr="00A34EEB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5</w:t>
      </w:r>
      <w:r w:rsidRPr="00A34EEB">
        <w:rPr>
          <w:b/>
          <w:lang w:val="en-US" w:eastAsia="zh-CN"/>
        </w:rPr>
        <w:t>:</w:t>
      </w:r>
      <w:r w:rsidRPr="00A34EEB">
        <w:rPr>
          <w:lang w:val="en-US" w:eastAsia="zh-CN"/>
        </w:rPr>
        <w:t xml:space="preserve"> The </w:t>
      </w:r>
      <w:r>
        <w:rPr>
          <w:lang w:val="en-US" w:eastAsia="zh-CN"/>
        </w:rPr>
        <w:t>homogenous</w:t>
      </w:r>
      <w:r w:rsidRPr="00A34EEB">
        <w:rPr>
          <w:lang w:val="en-US" w:eastAsia="zh-CN"/>
        </w:rPr>
        <w:t xml:space="preserve"> scenario with</w:t>
      </w:r>
      <w:r>
        <w:rPr>
          <w:lang w:val="en-US" w:eastAsia="zh-CN"/>
        </w:rPr>
        <w:t>out IAB nodes</w:t>
      </w:r>
      <w:r w:rsidRPr="00A34EEB">
        <w:rPr>
          <w:lang w:val="en-US" w:eastAsia="zh-CN"/>
        </w:rPr>
        <w:t>—ISD=</w:t>
      </w:r>
      <w:r>
        <w:rPr>
          <w:lang w:val="en-US" w:eastAsia="zh-CN"/>
        </w:rPr>
        <w:t>2</w:t>
      </w:r>
      <w:r w:rsidRPr="00A34EEB">
        <w:rPr>
          <w:lang w:val="en-US" w:eastAsia="zh-CN"/>
        </w:rPr>
        <w:t>00</w:t>
      </w:r>
      <w:r>
        <w:rPr>
          <w:lang w:val="en-US" w:eastAsia="zh-CN"/>
        </w:rPr>
        <w:t>m</w:t>
      </w:r>
      <w:r w:rsidRPr="00A34EEB">
        <w:rPr>
          <w:lang w:val="en-US" w:eastAsia="zh-CN"/>
        </w:rPr>
        <w:t xml:space="preserve">, 80% indoor UEs—is coverage limited </w:t>
      </w:r>
      <w:r>
        <w:rPr>
          <w:lang w:val="en-US" w:eastAsia="zh-CN"/>
        </w:rPr>
        <w:t>when only 1, 3 and 7 fiber nodes are available.</w:t>
      </w:r>
    </w:p>
    <w:p w14:paraId="2BC18DA9" w14:textId="77777777" w:rsidR="00476BB0" w:rsidRPr="00A34EEB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</w:p>
    <w:p w14:paraId="3B6449D6" w14:textId="77777777" w:rsidR="00476BB0" w:rsidRPr="00A34EEB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 w:eastAsia="zh-CN"/>
        </w:rPr>
      </w:pPr>
      <w:r w:rsidRPr="00A34EEB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6</w:t>
      </w:r>
      <w:r w:rsidRPr="00A34EEB">
        <w:rPr>
          <w:b/>
          <w:lang w:val="en-US" w:eastAsia="zh-CN"/>
        </w:rPr>
        <w:t>:</w:t>
      </w:r>
      <w:r w:rsidRPr="00A34EEB">
        <w:rPr>
          <w:lang w:val="en-US" w:eastAsia="zh-CN"/>
        </w:rPr>
        <w:t xml:space="preserve"> The </w:t>
      </w:r>
      <w:r>
        <w:rPr>
          <w:lang w:val="en-US" w:eastAsia="zh-CN"/>
        </w:rPr>
        <w:t>homogenous</w:t>
      </w:r>
      <w:r w:rsidRPr="00A34EEB">
        <w:rPr>
          <w:lang w:val="en-US" w:eastAsia="zh-CN"/>
        </w:rPr>
        <w:t xml:space="preserve"> scenario</w:t>
      </w:r>
      <w:r>
        <w:rPr>
          <w:lang w:val="en-US" w:eastAsia="zh-CN"/>
        </w:rPr>
        <w:t xml:space="preserve"> with 19 nodes</w:t>
      </w:r>
      <w:r w:rsidRPr="00A34EEB">
        <w:rPr>
          <w:lang w:val="en-US" w:eastAsia="zh-CN"/>
        </w:rPr>
        <w:t>—ISD=</w:t>
      </w:r>
      <w:r>
        <w:rPr>
          <w:lang w:val="en-US" w:eastAsia="zh-CN"/>
        </w:rPr>
        <w:t>2</w:t>
      </w:r>
      <w:r w:rsidRPr="00A34EEB">
        <w:rPr>
          <w:lang w:val="en-US" w:eastAsia="zh-CN"/>
        </w:rPr>
        <w:t>00</w:t>
      </w:r>
      <w:r>
        <w:rPr>
          <w:lang w:val="en-US" w:eastAsia="zh-CN"/>
        </w:rPr>
        <w:t>m</w:t>
      </w:r>
      <w:r w:rsidRPr="00A34EEB">
        <w:rPr>
          <w:lang w:val="en-US" w:eastAsia="zh-CN"/>
        </w:rPr>
        <w:t>, 80% indoor UEs—</w:t>
      </w:r>
      <w:r>
        <w:rPr>
          <w:lang w:val="en-US" w:eastAsia="zh-CN"/>
        </w:rPr>
        <w:t>comes close, but does not quite achieve coverage.</w:t>
      </w:r>
    </w:p>
    <w:p w14:paraId="160CE38D" w14:textId="207B5DED" w:rsidR="00476BB0" w:rsidRDefault="00476BB0" w:rsidP="00272A7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US"/>
        </w:rPr>
      </w:pPr>
      <w:r>
        <w:rPr>
          <w:b/>
          <w:lang w:val="en-US" w:eastAsia="zh-CN"/>
        </w:rPr>
        <w:lastRenderedPageBreak/>
        <w:t>O</w:t>
      </w:r>
      <w:r w:rsidRPr="00A34EEB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7</w:t>
      </w:r>
      <w:r w:rsidRPr="00A34EEB">
        <w:rPr>
          <w:b/>
          <w:lang w:val="en-US" w:eastAsia="zh-CN"/>
        </w:rPr>
        <w:t>:</w:t>
      </w:r>
      <w:r w:rsidRPr="00A34EEB">
        <w:rPr>
          <w:lang w:val="en-US" w:eastAsia="zh-CN"/>
        </w:rPr>
        <w:t xml:space="preserve"> The </w:t>
      </w:r>
      <w:r>
        <w:rPr>
          <w:lang w:val="en-US" w:eastAsia="zh-CN"/>
        </w:rPr>
        <w:t>homogeneous</w:t>
      </w:r>
      <w:r w:rsidRPr="00A34EEB">
        <w:rPr>
          <w:lang w:val="en-US" w:eastAsia="zh-CN"/>
        </w:rPr>
        <w:t xml:space="preserve"> </w:t>
      </w:r>
      <w:r>
        <w:rPr>
          <w:lang w:val="en-US" w:eastAsia="zh-CN"/>
        </w:rPr>
        <w:t>scenario</w:t>
      </w:r>
      <w:r w:rsidRPr="00A34EEB">
        <w:rPr>
          <w:lang w:val="en-US" w:eastAsia="zh-CN"/>
        </w:rPr>
        <w:t>— ISD=</w:t>
      </w:r>
      <w:r>
        <w:rPr>
          <w:lang w:val="en-US" w:eastAsia="zh-CN"/>
        </w:rPr>
        <w:t>200m,</w:t>
      </w:r>
      <w:r w:rsidRPr="00A34EEB">
        <w:rPr>
          <w:lang w:val="en-US" w:eastAsia="zh-CN"/>
        </w:rPr>
        <w:t xml:space="preserve"> 100% outdoor UEs —</w:t>
      </w:r>
      <w:r>
        <w:rPr>
          <w:lang w:val="en-US" w:eastAsia="zh-CN"/>
        </w:rPr>
        <w:t>achieves coverage for 3, 7 and 19 fiber connected nodes and nearly for only 1 fiber connected node</w:t>
      </w:r>
      <w:r w:rsidRPr="00A34EEB">
        <w:rPr>
          <w:lang w:val="en-US" w:eastAsia="zh-CN"/>
        </w:rPr>
        <w:t>.</w:t>
      </w:r>
    </w:p>
    <w:p w14:paraId="7400BF74" w14:textId="77777777" w:rsidR="00476BB0" w:rsidRPr="00136C1C" w:rsidRDefault="00476BB0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446B8C80" w14:textId="77777777" w:rsidR="00476BB0" w:rsidRDefault="00476BB0" w:rsidP="00476BB0">
      <w:pPr>
        <w:pStyle w:val="ListParagraph"/>
        <w:ind w:left="0"/>
        <w:jc w:val="both"/>
        <w:rPr>
          <w:sz w:val="20"/>
          <w:szCs w:val="20"/>
          <w:lang w:val="en-US"/>
        </w:rPr>
      </w:pPr>
      <w:r w:rsidRPr="00A34EEB">
        <w:rPr>
          <w:b/>
          <w:sz w:val="20"/>
          <w:szCs w:val="20"/>
          <w:lang w:val="en-US"/>
        </w:rPr>
        <w:t xml:space="preserve">Observation </w:t>
      </w:r>
      <w:r>
        <w:rPr>
          <w:b/>
          <w:sz w:val="20"/>
          <w:szCs w:val="20"/>
          <w:lang w:val="en-US"/>
        </w:rPr>
        <w:t>8</w:t>
      </w:r>
      <w:r w:rsidRPr="00A34EEB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The homogeneous scenario—ISD=100, 80% indoor UEs—achieves coverage with 19 sites.</w:t>
      </w:r>
    </w:p>
    <w:p w14:paraId="6CF9F233" w14:textId="457BE231" w:rsidR="00476BB0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3CA14126" w14:textId="114D365C" w:rsidR="00FC1C31" w:rsidRDefault="00FC1C31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  <w:r w:rsidRPr="00A34EEB">
        <w:rPr>
          <w:b/>
          <w:lang w:val="en-US"/>
        </w:rPr>
        <w:t xml:space="preserve">Observation </w:t>
      </w:r>
      <w:r>
        <w:rPr>
          <w:b/>
          <w:lang w:val="en-US"/>
        </w:rPr>
        <w:t>9</w:t>
      </w:r>
      <w:r w:rsidRPr="00A34EEB">
        <w:rPr>
          <w:b/>
          <w:lang w:val="en-US"/>
        </w:rPr>
        <w:t>:</w:t>
      </w:r>
      <w:r>
        <w:rPr>
          <w:lang w:val="en-US"/>
        </w:rPr>
        <w:t xml:space="preserve"> The homogeneous scenario—ISD=500, 100% outdoor UEs—achieves coverage with 19 sites.</w:t>
      </w:r>
    </w:p>
    <w:p w14:paraId="5D2BEC6B" w14:textId="77777777" w:rsidR="00E664F4" w:rsidRPr="00136C1C" w:rsidRDefault="00E664F4" w:rsidP="00E664F4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66A580E4" w14:textId="77777777" w:rsidR="00E664F4" w:rsidRDefault="00E664F4" w:rsidP="00E664F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 w:rsidRPr="005D55FF">
        <w:rPr>
          <w:b/>
          <w:sz w:val="20"/>
          <w:szCs w:val="20"/>
          <w:lang w:val="en-US"/>
        </w:rPr>
        <w:t xml:space="preserve">Proposal </w:t>
      </w:r>
      <w:r>
        <w:rPr>
          <w:b/>
          <w:sz w:val="20"/>
          <w:szCs w:val="20"/>
          <w:lang w:val="en-US"/>
        </w:rPr>
        <w:t>1: It is sufficient to have one heterogeneous scenario with ISD=500.</w:t>
      </w:r>
    </w:p>
    <w:p w14:paraId="764E9A8B" w14:textId="77777777" w:rsidR="00E664F4" w:rsidRDefault="00E664F4" w:rsidP="00E664F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408BC008" w14:textId="54A838D6" w:rsidR="00E664F4" w:rsidRDefault="00E664F4" w:rsidP="00E664F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Proposal 2: A uniform dropping criteria should be used for the UEs in the heterogeneous scenario</w:t>
      </w:r>
    </w:p>
    <w:p w14:paraId="5499575D" w14:textId="19B95AA9" w:rsidR="00E664F4" w:rsidRDefault="00E664F4" w:rsidP="00E664F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5079AB0A" w14:textId="2A43609C" w:rsidR="00E664F4" w:rsidRDefault="00E664F4" w:rsidP="00E664F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  <w:r w:rsidRPr="00A34EEB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34EEB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The 200m ISD selected for the homogenous case should be reconsidered</w:t>
      </w:r>
    </w:p>
    <w:p w14:paraId="0480BD4A" w14:textId="77777777" w:rsidR="00476BB0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59EA7322" w14:textId="77777777" w:rsidR="00476BB0" w:rsidRDefault="00476BB0" w:rsidP="00476BB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  <w:r w:rsidRPr="00A34EEB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A34EEB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The ISD=100m should replace ISD=200m for the homogenous case.</w:t>
      </w:r>
    </w:p>
    <w:p w14:paraId="75DE1B7B" w14:textId="77777777" w:rsidR="00476BB0" w:rsidRPr="00A34EEB" w:rsidRDefault="00476BB0" w:rsidP="00E664F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lang w:val="en-US" w:eastAsia="zh-CN"/>
        </w:rPr>
      </w:pPr>
    </w:p>
    <w:p w14:paraId="76D7D0FF" w14:textId="77777777" w:rsidR="00E664F4" w:rsidRPr="005D55FF" w:rsidRDefault="00E664F4" w:rsidP="00E664F4">
      <w:pPr>
        <w:pStyle w:val="ListParagraph"/>
        <w:ind w:left="0"/>
        <w:jc w:val="both"/>
        <w:rPr>
          <w:b/>
          <w:sz w:val="20"/>
          <w:szCs w:val="20"/>
          <w:lang w:val="en-US"/>
        </w:rPr>
      </w:pPr>
    </w:p>
    <w:p w14:paraId="22F2C0BD" w14:textId="77777777" w:rsidR="00EA3DCA" w:rsidRPr="00EA3DCA" w:rsidRDefault="00EA3DCA" w:rsidP="00A2190A">
      <w:pPr>
        <w:spacing w:after="120"/>
        <w:jc w:val="both"/>
        <w:rPr>
          <w:bCs/>
        </w:rPr>
      </w:pPr>
    </w:p>
    <w:p w14:paraId="2F0729C1" w14:textId="4F54E886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40D99FF0" w14:textId="617F51A2" w:rsidR="00055676" w:rsidRDefault="00714BA2" w:rsidP="00AC276B">
      <w:pPr>
        <w:numPr>
          <w:ilvl w:val="0"/>
          <w:numId w:val="1"/>
        </w:numPr>
        <w:rPr>
          <w:sz w:val="18"/>
        </w:rPr>
      </w:pPr>
      <w:bookmarkStart w:id="4" w:name="_Ref510617175"/>
      <w:r w:rsidRPr="008A215D">
        <w:rPr>
          <w:sz w:val="18"/>
          <w:lang w:eastAsia="zh-CN"/>
        </w:rPr>
        <w:t>RP-172290</w:t>
      </w:r>
      <w:r w:rsidR="00055676"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AC276B" w:rsidRPr="00AC276B">
        <w:rPr>
          <w:i/>
          <w:sz w:val="18"/>
          <w:lang w:eastAsia="zh-CN"/>
        </w:rPr>
        <w:t>Study on Integrated Access and Backhaul for NR</w:t>
      </w:r>
      <w:r w:rsidR="00D060FF" w:rsidRPr="00013455">
        <w:rPr>
          <w:sz w:val="18"/>
          <w:lang w:eastAsia="zh-CN"/>
        </w:rPr>
        <w:t>”</w:t>
      </w:r>
      <w:r w:rsidR="00055676" w:rsidRPr="00013455">
        <w:rPr>
          <w:sz w:val="18"/>
          <w:lang w:eastAsia="zh-CN"/>
        </w:rPr>
        <w:t xml:space="preserve">, </w:t>
      </w:r>
      <w:r w:rsidR="00AC276B">
        <w:rPr>
          <w:sz w:val="18"/>
          <w:lang w:eastAsia="zh-CN"/>
        </w:rPr>
        <w:t>AT&amp;T, Qualcomm, Samsung</w:t>
      </w:r>
      <w:bookmarkEnd w:id="4"/>
    </w:p>
    <w:p w14:paraId="7CA05E52" w14:textId="769D4B9C" w:rsidR="00D52656" w:rsidRDefault="00D52656" w:rsidP="00DB7641">
      <w:pPr>
        <w:numPr>
          <w:ilvl w:val="0"/>
          <w:numId w:val="1"/>
        </w:numPr>
        <w:rPr>
          <w:sz w:val="18"/>
        </w:rPr>
      </w:pPr>
      <w:bookmarkStart w:id="5" w:name="_Ref513450431"/>
      <w:r>
        <w:rPr>
          <w:sz w:val="18"/>
        </w:rPr>
        <w:t>Draft Report of 3GPP TSG RAN WG1 #92bis v0.1.0</w:t>
      </w:r>
      <w:bookmarkEnd w:id="5"/>
    </w:p>
    <w:p w14:paraId="112ADB94" w14:textId="5266757B" w:rsidR="00EC4DEE" w:rsidRDefault="003B51E0" w:rsidP="003B51E0">
      <w:pPr>
        <w:numPr>
          <w:ilvl w:val="0"/>
          <w:numId w:val="1"/>
        </w:numPr>
        <w:rPr>
          <w:sz w:val="18"/>
        </w:rPr>
      </w:pPr>
      <w:bookmarkStart w:id="6" w:name="_Ref513647087"/>
      <w:r w:rsidRPr="003B51E0">
        <w:rPr>
          <w:sz w:val="18"/>
          <w:lang w:eastAsia="zh-CN"/>
        </w:rPr>
        <w:t>R1-1804621</w:t>
      </w:r>
      <w:r w:rsidR="00714BA2">
        <w:rPr>
          <w:sz w:val="18"/>
          <w:lang w:eastAsia="zh-CN"/>
        </w:rPr>
        <w:t>, “</w:t>
      </w:r>
      <w:r w:rsidRPr="003B51E0">
        <w:rPr>
          <w:bCs/>
          <w:i/>
          <w:sz w:val="18"/>
          <w:lang w:val="en-US" w:eastAsia="zh-CN"/>
        </w:rPr>
        <w:t>IAB Deployment Scenarios and Evaluation Methodology</w:t>
      </w:r>
      <w:r w:rsidR="00714BA2">
        <w:rPr>
          <w:sz w:val="18"/>
          <w:lang w:eastAsia="zh-CN"/>
        </w:rPr>
        <w:t>”, Nokia, Nokia Shanghai Bell</w:t>
      </w:r>
      <w:bookmarkEnd w:id="6"/>
    </w:p>
    <w:p w14:paraId="70D43389" w14:textId="77777777" w:rsidR="00714BA2" w:rsidRDefault="00714BA2" w:rsidP="00714BA2">
      <w:pPr>
        <w:rPr>
          <w:sz w:val="18"/>
        </w:rPr>
      </w:pPr>
    </w:p>
    <w:sectPr w:rsidR="00714BA2" w:rsidSect="000131D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71F15" w14:textId="77777777" w:rsidR="00B51C4B" w:rsidRDefault="00B51C4B">
      <w:r>
        <w:separator/>
      </w:r>
    </w:p>
  </w:endnote>
  <w:endnote w:type="continuationSeparator" w:id="0">
    <w:p w14:paraId="54D9D288" w14:textId="77777777" w:rsidR="00B51C4B" w:rsidRDefault="00B51C4B">
      <w:r>
        <w:continuationSeparator/>
      </w:r>
    </w:p>
  </w:endnote>
  <w:endnote w:type="continuationNotice" w:id="1">
    <w:p w14:paraId="04E5F1F0" w14:textId="77777777" w:rsidR="00B51C4B" w:rsidRDefault="00B51C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204D39FE" w:rsidR="00B75603" w:rsidRPr="00B75603" w:rsidRDefault="00B75603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204D39FE" w:rsidR="00B75603" w:rsidRPr="00B75603" w:rsidRDefault="00B75603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7D663" w14:textId="77777777" w:rsidR="00B51C4B" w:rsidRDefault="00B51C4B">
      <w:r>
        <w:separator/>
      </w:r>
    </w:p>
  </w:footnote>
  <w:footnote w:type="continuationSeparator" w:id="0">
    <w:p w14:paraId="1525D24E" w14:textId="77777777" w:rsidR="00B51C4B" w:rsidRDefault="00B51C4B">
      <w:r>
        <w:continuationSeparator/>
      </w:r>
    </w:p>
  </w:footnote>
  <w:footnote w:type="continuationNotice" w:id="1">
    <w:p w14:paraId="482502D6" w14:textId="77777777" w:rsidR="00B51C4B" w:rsidRDefault="00B51C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7430E"/>
    <w:multiLevelType w:val="hybridMultilevel"/>
    <w:tmpl w:val="375C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40DE7"/>
    <w:multiLevelType w:val="hybridMultilevel"/>
    <w:tmpl w:val="F7FC0C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A34AF9"/>
    <w:multiLevelType w:val="hybridMultilevel"/>
    <w:tmpl w:val="8B16718A"/>
    <w:lvl w:ilvl="0" w:tplc="8F0C5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0FD17B5"/>
    <w:multiLevelType w:val="hybridMultilevel"/>
    <w:tmpl w:val="8130AD08"/>
    <w:lvl w:ilvl="0" w:tplc="9D44A46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4" w15:restartNumberingAfterBreak="0">
    <w:nsid w:val="455753DD"/>
    <w:multiLevelType w:val="hybridMultilevel"/>
    <w:tmpl w:val="15B29CF4"/>
    <w:lvl w:ilvl="0" w:tplc="040B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AE10B18"/>
    <w:multiLevelType w:val="hybridMultilevel"/>
    <w:tmpl w:val="2AC64B46"/>
    <w:lvl w:ilvl="0" w:tplc="2DE87A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0452B"/>
    <w:multiLevelType w:val="hybridMultilevel"/>
    <w:tmpl w:val="7D547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D0238"/>
    <w:multiLevelType w:val="hybridMultilevel"/>
    <w:tmpl w:val="A35C9904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4"/>
  </w:num>
  <w:num w:numId="4">
    <w:abstractNumId w:val="32"/>
  </w:num>
  <w:num w:numId="5">
    <w:abstractNumId w:val="21"/>
  </w:num>
  <w:num w:numId="6">
    <w:abstractNumId w:val="41"/>
  </w:num>
  <w:num w:numId="7">
    <w:abstractNumId w:val="1"/>
  </w:num>
  <w:num w:numId="8">
    <w:abstractNumId w:val="23"/>
  </w:num>
  <w:num w:numId="9">
    <w:abstractNumId w:val="27"/>
  </w:num>
  <w:num w:numId="10">
    <w:abstractNumId w:val="5"/>
  </w:num>
  <w:num w:numId="11">
    <w:abstractNumId w:val="25"/>
  </w:num>
  <w:num w:numId="12">
    <w:abstractNumId w:val="19"/>
  </w:num>
  <w:num w:numId="13">
    <w:abstractNumId w:val="20"/>
  </w:num>
  <w:num w:numId="14">
    <w:abstractNumId w:val="28"/>
  </w:num>
  <w:num w:numId="15">
    <w:abstractNumId w:val="15"/>
  </w:num>
  <w:num w:numId="16">
    <w:abstractNumId w:val="7"/>
  </w:num>
  <w:num w:numId="17">
    <w:abstractNumId w:val="30"/>
  </w:num>
  <w:num w:numId="18">
    <w:abstractNumId w:val="35"/>
  </w:num>
  <w:num w:numId="19">
    <w:abstractNumId w:val="26"/>
  </w:num>
  <w:num w:numId="20">
    <w:abstractNumId w:val="31"/>
  </w:num>
  <w:num w:numId="21">
    <w:abstractNumId w:val="29"/>
  </w:num>
  <w:num w:numId="22">
    <w:abstractNumId w:val="17"/>
  </w:num>
  <w:num w:numId="23">
    <w:abstractNumId w:val="38"/>
  </w:num>
  <w:num w:numId="24">
    <w:abstractNumId w:val="22"/>
  </w:num>
  <w:num w:numId="25">
    <w:abstractNumId w:val="13"/>
  </w:num>
  <w:num w:numId="26">
    <w:abstractNumId w:val="36"/>
  </w:num>
  <w:num w:numId="27">
    <w:abstractNumId w:val="6"/>
  </w:num>
  <w:num w:numId="28">
    <w:abstractNumId w:val="18"/>
  </w:num>
  <w:num w:numId="29">
    <w:abstractNumId w:val="43"/>
  </w:num>
  <w:num w:numId="30">
    <w:abstractNumId w:val="34"/>
  </w:num>
  <w:num w:numId="31">
    <w:abstractNumId w:val="3"/>
  </w:num>
  <w:num w:numId="32">
    <w:abstractNumId w:val="37"/>
  </w:num>
  <w:num w:numId="33">
    <w:abstractNumId w:val="2"/>
  </w:num>
  <w:num w:numId="34">
    <w:abstractNumId w:val="12"/>
  </w:num>
  <w:num w:numId="35">
    <w:abstractNumId w:val="11"/>
  </w:num>
  <w:num w:numId="36">
    <w:abstractNumId w:val="0"/>
  </w:num>
  <w:num w:numId="37">
    <w:abstractNumId w:val="10"/>
  </w:num>
  <w:num w:numId="38">
    <w:abstractNumId w:val="14"/>
  </w:num>
  <w:num w:numId="39">
    <w:abstractNumId w:val="39"/>
  </w:num>
  <w:num w:numId="40">
    <w:abstractNumId w:val="9"/>
  </w:num>
  <w:num w:numId="41">
    <w:abstractNumId w:val="40"/>
  </w:num>
  <w:num w:numId="42">
    <w:abstractNumId w:val="24"/>
  </w:num>
  <w:num w:numId="43">
    <w:abstractNumId w:val="8"/>
  </w:num>
  <w:num w:numId="44">
    <w:abstractNumId w:val="4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AC8"/>
    <w:rsid w:val="00006055"/>
    <w:rsid w:val="00006AD4"/>
    <w:rsid w:val="000074C4"/>
    <w:rsid w:val="000079A6"/>
    <w:rsid w:val="000110FC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37"/>
    <w:rsid w:val="000166AC"/>
    <w:rsid w:val="00017B7F"/>
    <w:rsid w:val="00017EDA"/>
    <w:rsid w:val="000215BE"/>
    <w:rsid w:val="00021662"/>
    <w:rsid w:val="00022DCB"/>
    <w:rsid w:val="00023742"/>
    <w:rsid w:val="00024AEF"/>
    <w:rsid w:val="00026C65"/>
    <w:rsid w:val="00027755"/>
    <w:rsid w:val="000277A9"/>
    <w:rsid w:val="00030048"/>
    <w:rsid w:val="0003072D"/>
    <w:rsid w:val="000314CD"/>
    <w:rsid w:val="0003163F"/>
    <w:rsid w:val="000317E7"/>
    <w:rsid w:val="00032D37"/>
    <w:rsid w:val="00033544"/>
    <w:rsid w:val="0003479E"/>
    <w:rsid w:val="0003484F"/>
    <w:rsid w:val="00035691"/>
    <w:rsid w:val="00035AE0"/>
    <w:rsid w:val="000360FE"/>
    <w:rsid w:val="0004132D"/>
    <w:rsid w:val="00041358"/>
    <w:rsid w:val="000425C9"/>
    <w:rsid w:val="000447D9"/>
    <w:rsid w:val="00044CFA"/>
    <w:rsid w:val="000459C7"/>
    <w:rsid w:val="00046630"/>
    <w:rsid w:val="00046C80"/>
    <w:rsid w:val="00046DD1"/>
    <w:rsid w:val="000474A4"/>
    <w:rsid w:val="000479CE"/>
    <w:rsid w:val="00047FFA"/>
    <w:rsid w:val="00050112"/>
    <w:rsid w:val="00050466"/>
    <w:rsid w:val="000505CC"/>
    <w:rsid w:val="000511F9"/>
    <w:rsid w:val="0005151E"/>
    <w:rsid w:val="000520B0"/>
    <w:rsid w:val="0005230E"/>
    <w:rsid w:val="00052850"/>
    <w:rsid w:val="000528A2"/>
    <w:rsid w:val="00052BBA"/>
    <w:rsid w:val="00054B59"/>
    <w:rsid w:val="00054D9D"/>
    <w:rsid w:val="00055676"/>
    <w:rsid w:val="0005581E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CF5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90EDD"/>
    <w:rsid w:val="00091A92"/>
    <w:rsid w:val="00092E70"/>
    <w:rsid w:val="00093C49"/>
    <w:rsid w:val="00095A80"/>
    <w:rsid w:val="000973C8"/>
    <w:rsid w:val="000973E1"/>
    <w:rsid w:val="0009774C"/>
    <w:rsid w:val="000A1402"/>
    <w:rsid w:val="000A20BA"/>
    <w:rsid w:val="000A262C"/>
    <w:rsid w:val="000A38C0"/>
    <w:rsid w:val="000A3C8D"/>
    <w:rsid w:val="000A40EA"/>
    <w:rsid w:val="000A40EC"/>
    <w:rsid w:val="000A44E7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68E5"/>
    <w:rsid w:val="000B7043"/>
    <w:rsid w:val="000C1D59"/>
    <w:rsid w:val="000C347C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4FD7"/>
    <w:rsid w:val="000D584F"/>
    <w:rsid w:val="000D6DCC"/>
    <w:rsid w:val="000D794A"/>
    <w:rsid w:val="000E071E"/>
    <w:rsid w:val="000E27AA"/>
    <w:rsid w:val="000E337A"/>
    <w:rsid w:val="000E3456"/>
    <w:rsid w:val="000E4350"/>
    <w:rsid w:val="000E4408"/>
    <w:rsid w:val="000E5716"/>
    <w:rsid w:val="000E75EA"/>
    <w:rsid w:val="000E7A79"/>
    <w:rsid w:val="000F0E97"/>
    <w:rsid w:val="000F15B2"/>
    <w:rsid w:val="000F19DE"/>
    <w:rsid w:val="000F2E1F"/>
    <w:rsid w:val="000F37B0"/>
    <w:rsid w:val="000F4389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17553"/>
    <w:rsid w:val="001204DD"/>
    <w:rsid w:val="00121D83"/>
    <w:rsid w:val="00122839"/>
    <w:rsid w:val="001237AC"/>
    <w:rsid w:val="00123FC0"/>
    <w:rsid w:val="00124665"/>
    <w:rsid w:val="00124DAF"/>
    <w:rsid w:val="00124E12"/>
    <w:rsid w:val="0012673D"/>
    <w:rsid w:val="001269B8"/>
    <w:rsid w:val="00127099"/>
    <w:rsid w:val="00132B71"/>
    <w:rsid w:val="0013427A"/>
    <w:rsid w:val="001362C2"/>
    <w:rsid w:val="001364DB"/>
    <w:rsid w:val="00136955"/>
    <w:rsid w:val="00136C1C"/>
    <w:rsid w:val="00136E19"/>
    <w:rsid w:val="001371B2"/>
    <w:rsid w:val="00137873"/>
    <w:rsid w:val="00137D78"/>
    <w:rsid w:val="001409A0"/>
    <w:rsid w:val="00141125"/>
    <w:rsid w:val="00141F08"/>
    <w:rsid w:val="00141FF2"/>
    <w:rsid w:val="00142026"/>
    <w:rsid w:val="0014287A"/>
    <w:rsid w:val="00142DE2"/>
    <w:rsid w:val="00144C87"/>
    <w:rsid w:val="001467B1"/>
    <w:rsid w:val="00150175"/>
    <w:rsid w:val="001502C8"/>
    <w:rsid w:val="00151097"/>
    <w:rsid w:val="0015130F"/>
    <w:rsid w:val="00151892"/>
    <w:rsid w:val="001540E4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70205"/>
    <w:rsid w:val="00170A50"/>
    <w:rsid w:val="0017157A"/>
    <w:rsid w:val="00171F0C"/>
    <w:rsid w:val="0017421B"/>
    <w:rsid w:val="00174FFD"/>
    <w:rsid w:val="001759CA"/>
    <w:rsid w:val="00176E51"/>
    <w:rsid w:val="0017726A"/>
    <w:rsid w:val="00177A7B"/>
    <w:rsid w:val="00177B88"/>
    <w:rsid w:val="00177DD3"/>
    <w:rsid w:val="00180278"/>
    <w:rsid w:val="001818A7"/>
    <w:rsid w:val="00182725"/>
    <w:rsid w:val="001829C8"/>
    <w:rsid w:val="00182CA0"/>
    <w:rsid w:val="00183FB0"/>
    <w:rsid w:val="00184098"/>
    <w:rsid w:val="00185D8A"/>
    <w:rsid w:val="00186904"/>
    <w:rsid w:val="00186B0A"/>
    <w:rsid w:val="001905BD"/>
    <w:rsid w:val="00190946"/>
    <w:rsid w:val="001923CE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1D02"/>
    <w:rsid w:val="001B25D9"/>
    <w:rsid w:val="001B2762"/>
    <w:rsid w:val="001B36FC"/>
    <w:rsid w:val="001B41ED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D0A7B"/>
    <w:rsid w:val="001D1B8A"/>
    <w:rsid w:val="001D2304"/>
    <w:rsid w:val="001D2B7D"/>
    <w:rsid w:val="001D46A0"/>
    <w:rsid w:val="001D4E22"/>
    <w:rsid w:val="001D5FB0"/>
    <w:rsid w:val="001D689E"/>
    <w:rsid w:val="001D7CA4"/>
    <w:rsid w:val="001D7E58"/>
    <w:rsid w:val="001E1791"/>
    <w:rsid w:val="001E30A0"/>
    <w:rsid w:val="001E3F75"/>
    <w:rsid w:val="001E4D4F"/>
    <w:rsid w:val="001E57CF"/>
    <w:rsid w:val="001E5981"/>
    <w:rsid w:val="001E74BA"/>
    <w:rsid w:val="001E7B9F"/>
    <w:rsid w:val="001E7C2A"/>
    <w:rsid w:val="001F01FB"/>
    <w:rsid w:val="001F0658"/>
    <w:rsid w:val="001F0E92"/>
    <w:rsid w:val="001F1306"/>
    <w:rsid w:val="001F1987"/>
    <w:rsid w:val="001F23BD"/>
    <w:rsid w:val="001F34DA"/>
    <w:rsid w:val="001F4DAC"/>
    <w:rsid w:val="001F4E69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10309"/>
    <w:rsid w:val="00210A97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3C69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E8E"/>
    <w:rsid w:val="00231FC7"/>
    <w:rsid w:val="00232930"/>
    <w:rsid w:val="00232A95"/>
    <w:rsid w:val="00232DD9"/>
    <w:rsid w:val="00233403"/>
    <w:rsid w:val="00233440"/>
    <w:rsid w:val="00233500"/>
    <w:rsid w:val="00233938"/>
    <w:rsid w:val="00233D0E"/>
    <w:rsid w:val="00236450"/>
    <w:rsid w:val="0023765A"/>
    <w:rsid w:val="00237921"/>
    <w:rsid w:val="00241311"/>
    <w:rsid w:val="00242E22"/>
    <w:rsid w:val="0024336B"/>
    <w:rsid w:val="00244224"/>
    <w:rsid w:val="0024424F"/>
    <w:rsid w:val="00244D28"/>
    <w:rsid w:val="00245720"/>
    <w:rsid w:val="00245A6F"/>
    <w:rsid w:val="00245FD5"/>
    <w:rsid w:val="002465E4"/>
    <w:rsid w:val="00246C0C"/>
    <w:rsid w:val="002477DF"/>
    <w:rsid w:val="00250726"/>
    <w:rsid w:val="0025074A"/>
    <w:rsid w:val="00251AD6"/>
    <w:rsid w:val="00252BBC"/>
    <w:rsid w:val="00252C17"/>
    <w:rsid w:val="0025307F"/>
    <w:rsid w:val="002551BD"/>
    <w:rsid w:val="002568D0"/>
    <w:rsid w:val="00257FFB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2A7C"/>
    <w:rsid w:val="00273177"/>
    <w:rsid w:val="00275074"/>
    <w:rsid w:val="002763E9"/>
    <w:rsid w:val="00276736"/>
    <w:rsid w:val="00280C7A"/>
    <w:rsid w:val="00284C7E"/>
    <w:rsid w:val="00284E32"/>
    <w:rsid w:val="002851EB"/>
    <w:rsid w:val="00285510"/>
    <w:rsid w:val="00285BDD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D9C"/>
    <w:rsid w:val="002B132E"/>
    <w:rsid w:val="002B2813"/>
    <w:rsid w:val="002B2D29"/>
    <w:rsid w:val="002B3B5A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4FA1"/>
    <w:rsid w:val="002D4FD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1B80"/>
    <w:rsid w:val="002F22FF"/>
    <w:rsid w:val="002F2D8F"/>
    <w:rsid w:val="002F4DA6"/>
    <w:rsid w:val="002F5A53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EDA"/>
    <w:rsid w:val="0032235B"/>
    <w:rsid w:val="003224AA"/>
    <w:rsid w:val="003224E7"/>
    <w:rsid w:val="00322CA0"/>
    <w:rsid w:val="00325D7A"/>
    <w:rsid w:val="00326145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606"/>
    <w:rsid w:val="00335EA8"/>
    <w:rsid w:val="003363DD"/>
    <w:rsid w:val="00340361"/>
    <w:rsid w:val="00340795"/>
    <w:rsid w:val="00340D5F"/>
    <w:rsid w:val="0034111C"/>
    <w:rsid w:val="00341E60"/>
    <w:rsid w:val="0034217F"/>
    <w:rsid w:val="00342AD2"/>
    <w:rsid w:val="00343954"/>
    <w:rsid w:val="00345405"/>
    <w:rsid w:val="00345612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1DD1"/>
    <w:rsid w:val="00363112"/>
    <w:rsid w:val="00363346"/>
    <w:rsid w:val="003642A6"/>
    <w:rsid w:val="00364853"/>
    <w:rsid w:val="003664B9"/>
    <w:rsid w:val="00367337"/>
    <w:rsid w:val="00367367"/>
    <w:rsid w:val="00367FD8"/>
    <w:rsid w:val="00370B63"/>
    <w:rsid w:val="00370FCC"/>
    <w:rsid w:val="003711AF"/>
    <w:rsid w:val="00371364"/>
    <w:rsid w:val="003733E5"/>
    <w:rsid w:val="00374848"/>
    <w:rsid w:val="003757B7"/>
    <w:rsid w:val="00375D09"/>
    <w:rsid w:val="0037739D"/>
    <w:rsid w:val="0037751C"/>
    <w:rsid w:val="00377DED"/>
    <w:rsid w:val="00380F3F"/>
    <w:rsid w:val="00382232"/>
    <w:rsid w:val="00382772"/>
    <w:rsid w:val="00382F1A"/>
    <w:rsid w:val="00383282"/>
    <w:rsid w:val="00383658"/>
    <w:rsid w:val="0038412E"/>
    <w:rsid w:val="00386053"/>
    <w:rsid w:val="0038771D"/>
    <w:rsid w:val="0039287E"/>
    <w:rsid w:val="00393507"/>
    <w:rsid w:val="003935F1"/>
    <w:rsid w:val="00393E44"/>
    <w:rsid w:val="00394270"/>
    <w:rsid w:val="00396EAE"/>
    <w:rsid w:val="00397AB6"/>
    <w:rsid w:val="00397ACA"/>
    <w:rsid w:val="003A0417"/>
    <w:rsid w:val="003A10C3"/>
    <w:rsid w:val="003A3647"/>
    <w:rsid w:val="003A597F"/>
    <w:rsid w:val="003A71A8"/>
    <w:rsid w:val="003A7926"/>
    <w:rsid w:val="003B00CA"/>
    <w:rsid w:val="003B030B"/>
    <w:rsid w:val="003B0432"/>
    <w:rsid w:val="003B05D9"/>
    <w:rsid w:val="003B0821"/>
    <w:rsid w:val="003B0BE9"/>
    <w:rsid w:val="003B0DAF"/>
    <w:rsid w:val="003B19F8"/>
    <w:rsid w:val="003B2E9B"/>
    <w:rsid w:val="003B2F8D"/>
    <w:rsid w:val="003B3C29"/>
    <w:rsid w:val="003B4FAA"/>
    <w:rsid w:val="003B51E0"/>
    <w:rsid w:val="003B547A"/>
    <w:rsid w:val="003B68C8"/>
    <w:rsid w:val="003B6CB0"/>
    <w:rsid w:val="003B75B9"/>
    <w:rsid w:val="003C0DA2"/>
    <w:rsid w:val="003C0DBA"/>
    <w:rsid w:val="003C1A18"/>
    <w:rsid w:val="003C3261"/>
    <w:rsid w:val="003C5A08"/>
    <w:rsid w:val="003C5C41"/>
    <w:rsid w:val="003C7461"/>
    <w:rsid w:val="003D0788"/>
    <w:rsid w:val="003D0C0B"/>
    <w:rsid w:val="003D0E0F"/>
    <w:rsid w:val="003D132A"/>
    <w:rsid w:val="003D1517"/>
    <w:rsid w:val="003D2938"/>
    <w:rsid w:val="003D2C75"/>
    <w:rsid w:val="003D3FBA"/>
    <w:rsid w:val="003D402B"/>
    <w:rsid w:val="003D4444"/>
    <w:rsid w:val="003D764F"/>
    <w:rsid w:val="003D7D81"/>
    <w:rsid w:val="003E04EB"/>
    <w:rsid w:val="003E0667"/>
    <w:rsid w:val="003E0BCE"/>
    <w:rsid w:val="003E13E0"/>
    <w:rsid w:val="003E1660"/>
    <w:rsid w:val="003E1CD1"/>
    <w:rsid w:val="003E2A2D"/>
    <w:rsid w:val="003E2EEE"/>
    <w:rsid w:val="003E40BD"/>
    <w:rsid w:val="003E473F"/>
    <w:rsid w:val="003E521F"/>
    <w:rsid w:val="003E64A9"/>
    <w:rsid w:val="003E7002"/>
    <w:rsid w:val="003E7905"/>
    <w:rsid w:val="003F0336"/>
    <w:rsid w:val="003F2147"/>
    <w:rsid w:val="003F4488"/>
    <w:rsid w:val="003F4C1D"/>
    <w:rsid w:val="003F53EE"/>
    <w:rsid w:val="003F5547"/>
    <w:rsid w:val="003F5C40"/>
    <w:rsid w:val="003F6E12"/>
    <w:rsid w:val="003F75ED"/>
    <w:rsid w:val="004002B7"/>
    <w:rsid w:val="00400F31"/>
    <w:rsid w:val="004012AE"/>
    <w:rsid w:val="0040130A"/>
    <w:rsid w:val="00402295"/>
    <w:rsid w:val="00406B4D"/>
    <w:rsid w:val="00407F6A"/>
    <w:rsid w:val="0041443C"/>
    <w:rsid w:val="004154F7"/>
    <w:rsid w:val="00416D44"/>
    <w:rsid w:val="004176FF"/>
    <w:rsid w:val="00421A27"/>
    <w:rsid w:val="00421D0A"/>
    <w:rsid w:val="004221AD"/>
    <w:rsid w:val="004229D8"/>
    <w:rsid w:val="0042416C"/>
    <w:rsid w:val="004241C5"/>
    <w:rsid w:val="00424FA7"/>
    <w:rsid w:val="00424FBD"/>
    <w:rsid w:val="00426A87"/>
    <w:rsid w:val="004309D8"/>
    <w:rsid w:val="004313D1"/>
    <w:rsid w:val="00431FD5"/>
    <w:rsid w:val="00432110"/>
    <w:rsid w:val="00433EBE"/>
    <w:rsid w:val="00434406"/>
    <w:rsid w:val="0043751F"/>
    <w:rsid w:val="00440FED"/>
    <w:rsid w:val="00441194"/>
    <w:rsid w:val="00441B0A"/>
    <w:rsid w:val="00441B3C"/>
    <w:rsid w:val="00441B92"/>
    <w:rsid w:val="00442607"/>
    <w:rsid w:val="0044474B"/>
    <w:rsid w:val="004451D3"/>
    <w:rsid w:val="00445FF7"/>
    <w:rsid w:val="004501CE"/>
    <w:rsid w:val="004523DC"/>
    <w:rsid w:val="00453341"/>
    <w:rsid w:val="004545C6"/>
    <w:rsid w:val="00454DCA"/>
    <w:rsid w:val="00455B17"/>
    <w:rsid w:val="00455FE9"/>
    <w:rsid w:val="004561C0"/>
    <w:rsid w:val="00456544"/>
    <w:rsid w:val="00456649"/>
    <w:rsid w:val="004567B7"/>
    <w:rsid w:val="00456856"/>
    <w:rsid w:val="00457810"/>
    <w:rsid w:val="00460839"/>
    <w:rsid w:val="00461210"/>
    <w:rsid w:val="00462490"/>
    <w:rsid w:val="00462A0A"/>
    <w:rsid w:val="00463F47"/>
    <w:rsid w:val="00465299"/>
    <w:rsid w:val="00466A0F"/>
    <w:rsid w:val="0046795B"/>
    <w:rsid w:val="004708C0"/>
    <w:rsid w:val="004715CB"/>
    <w:rsid w:val="00471863"/>
    <w:rsid w:val="00472233"/>
    <w:rsid w:val="00473353"/>
    <w:rsid w:val="00473A14"/>
    <w:rsid w:val="00474CA8"/>
    <w:rsid w:val="00474E43"/>
    <w:rsid w:val="00475A4A"/>
    <w:rsid w:val="00476BB0"/>
    <w:rsid w:val="00476DA5"/>
    <w:rsid w:val="004801E6"/>
    <w:rsid w:val="0048076D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39A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AB8"/>
    <w:rsid w:val="004C6C7D"/>
    <w:rsid w:val="004C795A"/>
    <w:rsid w:val="004C7F93"/>
    <w:rsid w:val="004D26B8"/>
    <w:rsid w:val="004D38C2"/>
    <w:rsid w:val="004D406D"/>
    <w:rsid w:val="004D4FBD"/>
    <w:rsid w:val="004D4FC0"/>
    <w:rsid w:val="004D7DA8"/>
    <w:rsid w:val="004E242F"/>
    <w:rsid w:val="004E2892"/>
    <w:rsid w:val="004E362B"/>
    <w:rsid w:val="004E3681"/>
    <w:rsid w:val="004E3D74"/>
    <w:rsid w:val="004E5AD0"/>
    <w:rsid w:val="004E708D"/>
    <w:rsid w:val="004E784B"/>
    <w:rsid w:val="004E7ED0"/>
    <w:rsid w:val="004E7F68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FA"/>
    <w:rsid w:val="00501304"/>
    <w:rsid w:val="00501425"/>
    <w:rsid w:val="005036BE"/>
    <w:rsid w:val="00504311"/>
    <w:rsid w:val="0050485C"/>
    <w:rsid w:val="00504AC6"/>
    <w:rsid w:val="00510C5E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D3F"/>
    <w:rsid w:val="00516FD9"/>
    <w:rsid w:val="0051791D"/>
    <w:rsid w:val="00520D6D"/>
    <w:rsid w:val="0052224D"/>
    <w:rsid w:val="00522F9D"/>
    <w:rsid w:val="00523E75"/>
    <w:rsid w:val="005243E0"/>
    <w:rsid w:val="00524454"/>
    <w:rsid w:val="005256F3"/>
    <w:rsid w:val="00525C15"/>
    <w:rsid w:val="00526322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541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46A74"/>
    <w:rsid w:val="005518ED"/>
    <w:rsid w:val="00552093"/>
    <w:rsid w:val="00552309"/>
    <w:rsid w:val="00554E4B"/>
    <w:rsid w:val="00555CB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3912"/>
    <w:rsid w:val="0056415C"/>
    <w:rsid w:val="005649BF"/>
    <w:rsid w:val="005650ED"/>
    <w:rsid w:val="00565869"/>
    <w:rsid w:val="00567415"/>
    <w:rsid w:val="00567610"/>
    <w:rsid w:val="00570D9F"/>
    <w:rsid w:val="00571CA8"/>
    <w:rsid w:val="00572CD5"/>
    <w:rsid w:val="005734C0"/>
    <w:rsid w:val="00574BA6"/>
    <w:rsid w:val="00580793"/>
    <w:rsid w:val="00581470"/>
    <w:rsid w:val="00581893"/>
    <w:rsid w:val="00581E73"/>
    <w:rsid w:val="00582087"/>
    <w:rsid w:val="005831DD"/>
    <w:rsid w:val="00584320"/>
    <w:rsid w:val="00585484"/>
    <w:rsid w:val="00587229"/>
    <w:rsid w:val="00587503"/>
    <w:rsid w:val="005877C3"/>
    <w:rsid w:val="00587F7F"/>
    <w:rsid w:val="005907D2"/>
    <w:rsid w:val="00590E8D"/>
    <w:rsid w:val="00591511"/>
    <w:rsid w:val="0059331A"/>
    <w:rsid w:val="00593970"/>
    <w:rsid w:val="005949E8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FF6"/>
    <w:rsid w:val="005B303B"/>
    <w:rsid w:val="005B3C6D"/>
    <w:rsid w:val="005B4045"/>
    <w:rsid w:val="005B49A7"/>
    <w:rsid w:val="005B4AEC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2CB5"/>
    <w:rsid w:val="005C41D4"/>
    <w:rsid w:val="005C6FAD"/>
    <w:rsid w:val="005D0079"/>
    <w:rsid w:val="005D059A"/>
    <w:rsid w:val="005D07AE"/>
    <w:rsid w:val="005D07C5"/>
    <w:rsid w:val="005D1478"/>
    <w:rsid w:val="005D1FF8"/>
    <w:rsid w:val="005D4213"/>
    <w:rsid w:val="005D4302"/>
    <w:rsid w:val="005D55FF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E7117"/>
    <w:rsid w:val="005E746D"/>
    <w:rsid w:val="005F0108"/>
    <w:rsid w:val="005F0ECC"/>
    <w:rsid w:val="005F21A5"/>
    <w:rsid w:val="005F2470"/>
    <w:rsid w:val="005F28C6"/>
    <w:rsid w:val="005F3F16"/>
    <w:rsid w:val="005F5241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731"/>
    <w:rsid w:val="00606A26"/>
    <w:rsid w:val="00606AC6"/>
    <w:rsid w:val="00606CC0"/>
    <w:rsid w:val="00607D81"/>
    <w:rsid w:val="00610747"/>
    <w:rsid w:val="00610E03"/>
    <w:rsid w:val="00610EC7"/>
    <w:rsid w:val="0061176E"/>
    <w:rsid w:val="00612A14"/>
    <w:rsid w:val="0061417F"/>
    <w:rsid w:val="00614CD1"/>
    <w:rsid w:val="0061567B"/>
    <w:rsid w:val="00616921"/>
    <w:rsid w:val="0062152A"/>
    <w:rsid w:val="00621893"/>
    <w:rsid w:val="00623583"/>
    <w:rsid w:val="00623717"/>
    <w:rsid w:val="00623D9E"/>
    <w:rsid w:val="0062462F"/>
    <w:rsid w:val="00624BA1"/>
    <w:rsid w:val="006257E9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3747D"/>
    <w:rsid w:val="0064165D"/>
    <w:rsid w:val="006433BD"/>
    <w:rsid w:val="00643784"/>
    <w:rsid w:val="00644186"/>
    <w:rsid w:val="00644803"/>
    <w:rsid w:val="00644A21"/>
    <w:rsid w:val="006452EE"/>
    <w:rsid w:val="00645C9F"/>
    <w:rsid w:val="00646256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7C6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269D"/>
    <w:rsid w:val="00672988"/>
    <w:rsid w:val="00672AEA"/>
    <w:rsid w:val="00672C64"/>
    <w:rsid w:val="006739CF"/>
    <w:rsid w:val="00673BE2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9011A"/>
    <w:rsid w:val="006901CD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41AE"/>
    <w:rsid w:val="006A432B"/>
    <w:rsid w:val="006A4856"/>
    <w:rsid w:val="006A530D"/>
    <w:rsid w:val="006A564B"/>
    <w:rsid w:val="006A5CBF"/>
    <w:rsid w:val="006B0386"/>
    <w:rsid w:val="006B08CF"/>
    <w:rsid w:val="006B0B90"/>
    <w:rsid w:val="006B1545"/>
    <w:rsid w:val="006B27AC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2A59"/>
    <w:rsid w:val="006C3959"/>
    <w:rsid w:val="006C4FC1"/>
    <w:rsid w:val="006C51A5"/>
    <w:rsid w:val="006C529D"/>
    <w:rsid w:val="006C5670"/>
    <w:rsid w:val="006C58B2"/>
    <w:rsid w:val="006C65A1"/>
    <w:rsid w:val="006C7B01"/>
    <w:rsid w:val="006C7CC9"/>
    <w:rsid w:val="006C7CFC"/>
    <w:rsid w:val="006D0E6B"/>
    <w:rsid w:val="006D1073"/>
    <w:rsid w:val="006D2146"/>
    <w:rsid w:val="006D2D0B"/>
    <w:rsid w:val="006D632E"/>
    <w:rsid w:val="006D668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256A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C80"/>
    <w:rsid w:val="00702D5A"/>
    <w:rsid w:val="00702EF7"/>
    <w:rsid w:val="00703989"/>
    <w:rsid w:val="007042E9"/>
    <w:rsid w:val="0070687A"/>
    <w:rsid w:val="00710393"/>
    <w:rsid w:val="0071118B"/>
    <w:rsid w:val="00711E13"/>
    <w:rsid w:val="00712EDA"/>
    <w:rsid w:val="007136D0"/>
    <w:rsid w:val="00714BA2"/>
    <w:rsid w:val="007155A9"/>
    <w:rsid w:val="007158E1"/>
    <w:rsid w:val="0071705B"/>
    <w:rsid w:val="00720505"/>
    <w:rsid w:val="007205E1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1CE"/>
    <w:rsid w:val="00733893"/>
    <w:rsid w:val="00734A05"/>
    <w:rsid w:val="00735C6F"/>
    <w:rsid w:val="007408D5"/>
    <w:rsid w:val="00742B44"/>
    <w:rsid w:val="007440FE"/>
    <w:rsid w:val="0074655A"/>
    <w:rsid w:val="007469B7"/>
    <w:rsid w:val="00746C78"/>
    <w:rsid w:val="00746CC5"/>
    <w:rsid w:val="00751B94"/>
    <w:rsid w:val="00753BB5"/>
    <w:rsid w:val="00756832"/>
    <w:rsid w:val="007626D0"/>
    <w:rsid w:val="007651CA"/>
    <w:rsid w:val="00767519"/>
    <w:rsid w:val="00767CE5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77387"/>
    <w:rsid w:val="007802E4"/>
    <w:rsid w:val="00780919"/>
    <w:rsid w:val="007825F0"/>
    <w:rsid w:val="007826C8"/>
    <w:rsid w:val="00782972"/>
    <w:rsid w:val="00783ACA"/>
    <w:rsid w:val="00784190"/>
    <w:rsid w:val="0078457B"/>
    <w:rsid w:val="00784756"/>
    <w:rsid w:val="0078539D"/>
    <w:rsid w:val="007856C1"/>
    <w:rsid w:val="00785B70"/>
    <w:rsid w:val="00786ED1"/>
    <w:rsid w:val="00787051"/>
    <w:rsid w:val="0079018D"/>
    <w:rsid w:val="00791A00"/>
    <w:rsid w:val="00791DBA"/>
    <w:rsid w:val="00791DC7"/>
    <w:rsid w:val="00792CEE"/>
    <w:rsid w:val="00794E92"/>
    <w:rsid w:val="0079656A"/>
    <w:rsid w:val="00796D86"/>
    <w:rsid w:val="00796F15"/>
    <w:rsid w:val="007A11CE"/>
    <w:rsid w:val="007A138F"/>
    <w:rsid w:val="007A1640"/>
    <w:rsid w:val="007A3723"/>
    <w:rsid w:val="007A39DF"/>
    <w:rsid w:val="007A3A7F"/>
    <w:rsid w:val="007A43ED"/>
    <w:rsid w:val="007A4920"/>
    <w:rsid w:val="007A4997"/>
    <w:rsid w:val="007A4BDD"/>
    <w:rsid w:val="007A6881"/>
    <w:rsid w:val="007A72EE"/>
    <w:rsid w:val="007B0397"/>
    <w:rsid w:val="007B3502"/>
    <w:rsid w:val="007B44ED"/>
    <w:rsid w:val="007B491A"/>
    <w:rsid w:val="007B5370"/>
    <w:rsid w:val="007B557D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64A"/>
    <w:rsid w:val="007D1972"/>
    <w:rsid w:val="007D1F33"/>
    <w:rsid w:val="007D2146"/>
    <w:rsid w:val="007D24BF"/>
    <w:rsid w:val="007D2BBA"/>
    <w:rsid w:val="007D3307"/>
    <w:rsid w:val="007D432A"/>
    <w:rsid w:val="007D5A88"/>
    <w:rsid w:val="007D5E27"/>
    <w:rsid w:val="007D6F64"/>
    <w:rsid w:val="007D752A"/>
    <w:rsid w:val="007E12FD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3C1"/>
    <w:rsid w:val="007F4740"/>
    <w:rsid w:val="007F5CEB"/>
    <w:rsid w:val="007F6202"/>
    <w:rsid w:val="007F7E1D"/>
    <w:rsid w:val="008006C6"/>
    <w:rsid w:val="00800C52"/>
    <w:rsid w:val="00800F33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5B11"/>
    <w:rsid w:val="00826C7B"/>
    <w:rsid w:val="00826DD9"/>
    <w:rsid w:val="00826E01"/>
    <w:rsid w:val="008277A8"/>
    <w:rsid w:val="008278B6"/>
    <w:rsid w:val="008307ED"/>
    <w:rsid w:val="00832918"/>
    <w:rsid w:val="00833065"/>
    <w:rsid w:val="0083350F"/>
    <w:rsid w:val="00834237"/>
    <w:rsid w:val="00834358"/>
    <w:rsid w:val="008346BD"/>
    <w:rsid w:val="008355F3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4A9"/>
    <w:rsid w:val="00870D04"/>
    <w:rsid w:val="0087121B"/>
    <w:rsid w:val="008714B6"/>
    <w:rsid w:val="0087238A"/>
    <w:rsid w:val="008743F3"/>
    <w:rsid w:val="0087444A"/>
    <w:rsid w:val="00875139"/>
    <w:rsid w:val="00875410"/>
    <w:rsid w:val="00880279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A16F9"/>
    <w:rsid w:val="008A1D3E"/>
    <w:rsid w:val="008A215D"/>
    <w:rsid w:val="008A4B16"/>
    <w:rsid w:val="008A4D63"/>
    <w:rsid w:val="008A6D62"/>
    <w:rsid w:val="008B0E47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6220"/>
    <w:rsid w:val="008E721F"/>
    <w:rsid w:val="008E7D63"/>
    <w:rsid w:val="008F00DB"/>
    <w:rsid w:val="008F1002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36BC"/>
    <w:rsid w:val="00903AFB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B81"/>
    <w:rsid w:val="00915D6B"/>
    <w:rsid w:val="009160DF"/>
    <w:rsid w:val="009162C7"/>
    <w:rsid w:val="00916EC2"/>
    <w:rsid w:val="009178BD"/>
    <w:rsid w:val="0092102A"/>
    <w:rsid w:val="009213BD"/>
    <w:rsid w:val="00921AA2"/>
    <w:rsid w:val="00922DC3"/>
    <w:rsid w:val="00923AFA"/>
    <w:rsid w:val="00924627"/>
    <w:rsid w:val="00924C2F"/>
    <w:rsid w:val="009250A8"/>
    <w:rsid w:val="009255BA"/>
    <w:rsid w:val="00925BE6"/>
    <w:rsid w:val="0092658D"/>
    <w:rsid w:val="00926F61"/>
    <w:rsid w:val="00927BDE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49AA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8755A"/>
    <w:rsid w:val="009907E2"/>
    <w:rsid w:val="00990894"/>
    <w:rsid w:val="00990C0E"/>
    <w:rsid w:val="00990D75"/>
    <w:rsid w:val="00991093"/>
    <w:rsid w:val="0099163B"/>
    <w:rsid w:val="00992343"/>
    <w:rsid w:val="00992958"/>
    <w:rsid w:val="00996303"/>
    <w:rsid w:val="00996306"/>
    <w:rsid w:val="00996744"/>
    <w:rsid w:val="009967DA"/>
    <w:rsid w:val="0099705B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0D0"/>
    <w:rsid w:val="009B2CED"/>
    <w:rsid w:val="009B345D"/>
    <w:rsid w:val="009B5A4D"/>
    <w:rsid w:val="009B6169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6564"/>
    <w:rsid w:val="009C70DB"/>
    <w:rsid w:val="009D0E75"/>
    <w:rsid w:val="009D132B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2B4C"/>
    <w:rsid w:val="009E308C"/>
    <w:rsid w:val="009E3CD1"/>
    <w:rsid w:val="009E4AB3"/>
    <w:rsid w:val="009E5AF5"/>
    <w:rsid w:val="009E5EB5"/>
    <w:rsid w:val="009E74F0"/>
    <w:rsid w:val="009F0768"/>
    <w:rsid w:val="009F5AD9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689F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DA4"/>
    <w:rsid w:val="00A24372"/>
    <w:rsid w:val="00A243E4"/>
    <w:rsid w:val="00A2459D"/>
    <w:rsid w:val="00A24E23"/>
    <w:rsid w:val="00A25F05"/>
    <w:rsid w:val="00A27EB3"/>
    <w:rsid w:val="00A311AE"/>
    <w:rsid w:val="00A312A6"/>
    <w:rsid w:val="00A3130E"/>
    <w:rsid w:val="00A324CF"/>
    <w:rsid w:val="00A32E8B"/>
    <w:rsid w:val="00A32ED6"/>
    <w:rsid w:val="00A344A5"/>
    <w:rsid w:val="00A346C3"/>
    <w:rsid w:val="00A34EEB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535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B7B"/>
    <w:rsid w:val="00A73790"/>
    <w:rsid w:val="00A73C9A"/>
    <w:rsid w:val="00A74692"/>
    <w:rsid w:val="00A75726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778"/>
    <w:rsid w:val="00A91AA1"/>
    <w:rsid w:val="00A92776"/>
    <w:rsid w:val="00A93181"/>
    <w:rsid w:val="00A938E6"/>
    <w:rsid w:val="00A93CCF"/>
    <w:rsid w:val="00A95BD5"/>
    <w:rsid w:val="00A96559"/>
    <w:rsid w:val="00A96F78"/>
    <w:rsid w:val="00AA1087"/>
    <w:rsid w:val="00AA25A9"/>
    <w:rsid w:val="00AA26D9"/>
    <w:rsid w:val="00AA3DEA"/>
    <w:rsid w:val="00AA4759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5BC3"/>
    <w:rsid w:val="00AC60B4"/>
    <w:rsid w:val="00AD00C5"/>
    <w:rsid w:val="00AD0FC2"/>
    <w:rsid w:val="00AD165F"/>
    <w:rsid w:val="00AD2794"/>
    <w:rsid w:val="00AD2B9F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127E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6B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6F15"/>
    <w:rsid w:val="00B07CD6"/>
    <w:rsid w:val="00B07E09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11"/>
    <w:rsid w:val="00B266B0"/>
    <w:rsid w:val="00B27921"/>
    <w:rsid w:val="00B3000E"/>
    <w:rsid w:val="00B326A8"/>
    <w:rsid w:val="00B329EB"/>
    <w:rsid w:val="00B32B4A"/>
    <w:rsid w:val="00B33508"/>
    <w:rsid w:val="00B3377E"/>
    <w:rsid w:val="00B35786"/>
    <w:rsid w:val="00B35DA4"/>
    <w:rsid w:val="00B37425"/>
    <w:rsid w:val="00B4069C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1BB0"/>
    <w:rsid w:val="00B51C4B"/>
    <w:rsid w:val="00B5239C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69F"/>
    <w:rsid w:val="00B639D7"/>
    <w:rsid w:val="00B64AA7"/>
    <w:rsid w:val="00B64E10"/>
    <w:rsid w:val="00B66594"/>
    <w:rsid w:val="00B67805"/>
    <w:rsid w:val="00B67939"/>
    <w:rsid w:val="00B70A76"/>
    <w:rsid w:val="00B71BBD"/>
    <w:rsid w:val="00B71EA5"/>
    <w:rsid w:val="00B71F30"/>
    <w:rsid w:val="00B721CD"/>
    <w:rsid w:val="00B7267A"/>
    <w:rsid w:val="00B726FF"/>
    <w:rsid w:val="00B7291A"/>
    <w:rsid w:val="00B72A91"/>
    <w:rsid w:val="00B72AA4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593C"/>
    <w:rsid w:val="00B869DF"/>
    <w:rsid w:val="00B90E2A"/>
    <w:rsid w:val="00B90F2A"/>
    <w:rsid w:val="00B9198D"/>
    <w:rsid w:val="00B93008"/>
    <w:rsid w:val="00B94025"/>
    <w:rsid w:val="00B9406D"/>
    <w:rsid w:val="00B94BA7"/>
    <w:rsid w:val="00B94BE9"/>
    <w:rsid w:val="00B94E0E"/>
    <w:rsid w:val="00B95269"/>
    <w:rsid w:val="00B97CA3"/>
    <w:rsid w:val="00BA2B80"/>
    <w:rsid w:val="00BA3D7B"/>
    <w:rsid w:val="00BA76A9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70FB"/>
    <w:rsid w:val="00BD3E68"/>
    <w:rsid w:val="00BD504A"/>
    <w:rsid w:val="00BD598A"/>
    <w:rsid w:val="00BD75B4"/>
    <w:rsid w:val="00BD7BFE"/>
    <w:rsid w:val="00BD7D14"/>
    <w:rsid w:val="00BE02B4"/>
    <w:rsid w:val="00BE0A4E"/>
    <w:rsid w:val="00BE1553"/>
    <w:rsid w:val="00BE19DC"/>
    <w:rsid w:val="00BE41EC"/>
    <w:rsid w:val="00BE4702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3FF0"/>
    <w:rsid w:val="00BF711C"/>
    <w:rsid w:val="00BF7C74"/>
    <w:rsid w:val="00C00ED8"/>
    <w:rsid w:val="00C03309"/>
    <w:rsid w:val="00C03452"/>
    <w:rsid w:val="00C067D5"/>
    <w:rsid w:val="00C072FE"/>
    <w:rsid w:val="00C12E39"/>
    <w:rsid w:val="00C13151"/>
    <w:rsid w:val="00C13DA5"/>
    <w:rsid w:val="00C14164"/>
    <w:rsid w:val="00C15D8E"/>
    <w:rsid w:val="00C17012"/>
    <w:rsid w:val="00C178FB"/>
    <w:rsid w:val="00C22B28"/>
    <w:rsid w:val="00C22B5A"/>
    <w:rsid w:val="00C230BF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03"/>
    <w:rsid w:val="00C522D6"/>
    <w:rsid w:val="00C5306D"/>
    <w:rsid w:val="00C54010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F08"/>
    <w:rsid w:val="00C6528C"/>
    <w:rsid w:val="00C661E8"/>
    <w:rsid w:val="00C663A8"/>
    <w:rsid w:val="00C6648F"/>
    <w:rsid w:val="00C66540"/>
    <w:rsid w:val="00C66D27"/>
    <w:rsid w:val="00C66D76"/>
    <w:rsid w:val="00C66E69"/>
    <w:rsid w:val="00C70084"/>
    <w:rsid w:val="00C7235B"/>
    <w:rsid w:val="00C725B1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4D39"/>
    <w:rsid w:val="00C85277"/>
    <w:rsid w:val="00C85556"/>
    <w:rsid w:val="00C85D76"/>
    <w:rsid w:val="00C864D4"/>
    <w:rsid w:val="00C873AC"/>
    <w:rsid w:val="00C87B19"/>
    <w:rsid w:val="00C90828"/>
    <w:rsid w:val="00C92490"/>
    <w:rsid w:val="00C93462"/>
    <w:rsid w:val="00C94384"/>
    <w:rsid w:val="00C94A30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6426"/>
    <w:rsid w:val="00CA64D5"/>
    <w:rsid w:val="00CB09DA"/>
    <w:rsid w:val="00CB0BD9"/>
    <w:rsid w:val="00CB1CAC"/>
    <w:rsid w:val="00CB1D87"/>
    <w:rsid w:val="00CB1DE8"/>
    <w:rsid w:val="00CB1E3B"/>
    <w:rsid w:val="00CB1F1D"/>
    <w:rsid w:val="00CB3C8E"/>
    <w:rsid w:val="00CB4212"/>
    <w:rsid w:val="00CB45BC"/>
    <w:rsid w:val="00CB4C59"/>
    <w:rsid w:val="00CB600D"/>
    <w:rsid w:val="00CB71F8"/>
    <w:rsid w:val="00CC26DB"/>
    <w:rsid w:val="00CC300C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79E9"/>
    <w:rsid w:val="00CD0126"/>
    <w:rsid w:val="00CD078F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757"/>
    <w:rsid w:val="00CE2346"/>
    <w:rsid w:val="00CE2B02"/>
    <w:rsid w:val="00CE3B50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21D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5C04"/>
    <w:rsid w:val="00D060FF"/>
    <w:rsid w:val="00D064E8"/>
    <w:rsid w:val="00D06572"/>
    <w:rsid w:val="00D065CD"/>
    <w:rsid w:val="00D07D93"/>
    <w:rsid w:val="00D11FA6"/>
    <w:rsid w:val="00D12325"/>
    <w:rsid w:val="00D14487"/>
    <w:rsid w:val="00D14DBB"/>
    <w:rsid w:val="00D15E7E"/>
    <w:rsid w:val="00D162EF"/>
    <w:rsid w:val="00D17A1F"/>
    <w:rsid w:val="00D20016"/>
    <w:rsid w:val="00D207A7"/>
    <w:rsid w:val="00D20CD6"/>
    <w:rsid w:val="00D20E00"/>
    <w:rsid w:val="00D21005"/>
    <w:rsid w:val="00D21771"/>
    <w:rsid w:val="00D21DBE"/>
    <w:rsid w:val="00D2279F"/>
    <w:rsid w:val="00D22AF1"/>
    <w:rsid w:val="00D22E93"/>
    <w:rsid w:val="00D242DA"/>
    <w:rsid w:val="00D25BD5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5D77"/>
    <w:rsid w:val="00D46111"/>
    <w:rsid w:val="00D47C16"/>
    <w:rsid w:val="00D502AF"/>
    <w:rsid w:val="00D50764"/>
    <w:rsid w:val="00D50C12"/>
    <w:rsid w:val="00D518FF"/>
    <w:rsid w:val="00D51A77"/>
    <w:rsid w:val="00D52656"/>
    <w:rsid w:val="00D53649"/>
    <w:rsid w:val="00D53830"/>
    <w:rsid w:val="00D53A28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28AE"/>
    <w:rsid w:val="00D73077"/>
    <w:rsid w:val="00D736A2"/>
    <w:rsid w:val="00D73C57"/>
    <w:rsid w:val="00D742FF"/>
    <w:rsid w:val="00D758B3"/>
    <w:rsid w:val="00D76ADC"/>
    <w:rsid w:val="00D77413"/>
    <w:rsid w:val="00D7787C"/>
    <w:rsid w:val="00D80414"/>
    <w:rsid w:val="00D80449"/>
    <w:rsid w:val="00D81F10"/>
    <w:rsid w:val="00D8201E"/>
    <w:rsid w:val="00D822EC"/>
    <w:rsid w:val="00D82C91"/>
    <w:rsid w:val="00D8303C"/>
    <w:rsid w:val="00D836F7"/>
    <w:rsid w:val="00D84A57"/>
    <w:rsid w:val="00D84C3B"/>
    <w:rsid w:val="00D84DA7"/>
    <w:rsid w:val="00D864F8"/>
    <w:rsid w:val="00D874DF"/>
    <w:rsid w:val="00D87A12"/>
    <w:rsid w:val="00D87FEF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641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D726A"/>
    <w:rsid w:val="00DE0C66"/>
    <w:rsid w:val="00DE1904"/>
    <w:rsid w:val="00DE3DBB"/>
    <w:rsid w:val="00DE43A2"/>
    <w:rsid w:val="00DE4A74"/>
    <w:rsid w:val="00DE4B05"/>
    <w:rsid w:val="00DE541C"/>
    <w:rsid w:val="00DE5E79"/>
    <w:rsid w:val="00DE737B"/>
    <w:rsid w:val="00DF0587"/>
    <w:rsid w:val="00DF100B"/>
    <w:rsid w:val="00DF23CA"/>
    <w:rsid w:val="00DF2929"/>
    <w:rsid w:val="00DF3B76"/>
    <w:rsid w:val="00DF4359"/>
    <w:rsid w:val="00DF4C1A"/>
    <w:rsid w:val="00DF6E12"/>
    <w:rsid w:val="00DF7751"/>
    <w:rsid w:val="00E012B1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1655D"/>
    <w:rsid w:val="00E20124"/>
    <w:rsid w:val="00E20155"/>
    <w:rsid w:val="00E222F0"/>
    <w:rsid w:val="00E239D1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A27"/>
    <w:rsid w:val="00E41E2F"/>
    <w:rsid w:val="00E42910"/>
    <w:rsid w:val="00E42D86"/>
    <w:rsid w:val="00E430C7"/>
    <w:rsid w:val="00E457DC"/>
    <w:rsid w:val="00E4608B"/>
    <w:rsid w:val="00E464EC"/>
    <w:rsid w:val="00E46FF0"/>
    <w:rsid w:val="00E501D3"/>
    <w:rsid w:val="00E53A01"/>
    <w:rsid w:val="00E553CE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4F4"/>
    <w:rsid w:val="00E66C49"/>
    <w:rsid w:val="00E67EE5"/>
    <w:rsid w:val="00E7013A"/>
    <w:rsid w:val="00E71099"/>
    <w:rsid w:val="00E74035"/>
    <w:rsid w:val="00E74104"/>
    <w:rsid w:val="00E7473C"/>
    <w:rsid w:val="00E74F5D"/>
    <w:rsid w:val="00E750D8"/>
    <w:rsid w:val="00E757A8"/>
    <w:rsid w:val="00E75C06"/>
    <w:rsid w:val="00E76034"/>
    <w:rsid w:val="00E80440"/>
    <w:rsid w:val="00E80515"/>
    <w:rsid w:val="00E817E0"/>
    <w:rsid w:val="00E819FB"/>
    <w:rsid w:val="00E827D2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9B4"/>
    <w:rsid w:val="00EA3DCA"/>
    <w:rsid w:val="00EA4EC9"/>
    <w:rsid w:val="00EA54D5"/>
    <w:rsid w:val="00EA5E0F"/>
    <w:rsid w:val="00EA6103"/>
    <w:rsid w:val="00EA64B3"/>
    <w:rsid w:val="00EA6FE4"/>
    <w:rsid w:val="00EA7555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1F80"/>
    <w:rsid w:val="00EC204E"/>
    <w:rsid w:val="00EC249E"/>
    <w:rsid w:val="00EC2966"/>
    <w:rsid w:val="00EC2CFF"/>
    <w:rsid w:val="00EC4DEE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C73"/>
    <w:rsid w:val="00ED6D4A"/>
    <w:rsid w:val="00ED738C"/>
    <w:rsid w:val="00ED7918"/>
    <w:rsid w:val="00ED7FD3"/>
    <w:rsid w:val="00EE16F6"/>
    <w:rsid w:val="00EE1F1A"/>
    <w:rsid w:val="00EE3663"/>
    <w:rsid w:val="00EE41C4"/>
    <w:rsid w:val="00EE4A40"/>
    <w:rsid w:val="00EE619C"/>
    <w:rsid w:val="00EE76A9"/>
    <w:rsid w:val="00EE799E"/>
    <w:rsid w:val="00EE7B5A"/>
    <w:rsid w:val="00EE7C7E"/>
    <w:rsid w:val="00EE7CA8"/>
    <w:rsid w:val="00EE7FA7"/>
    <w:rsid w:val="00EF1093"/>
    <w:rsid w:val="00EF1707"/>
    <w:rsid w:val="00EF1FCB"/>
    <w:rsid w:val="00EF21C3"/>
    <w:rsid w:val="00EF2E6B"/>
    <w:rsid w:val="00EF44F4"/>
    <w:rsid w:val="00F0030E"/>
    <w:rsid w:val="00F00CD1"/>
    <w:rsid w:val="00F01E6B"/>
    <w:rsid w:val="00F0241C"/>
    <w:rsid w:val="00F05759"/>
    <w:rsid w:val="00F06D60"/>
    <w:rsid w:val="00F072C0"/>
    <w:rsid w:val="00F10CB9"/>
    <w:rsid w:val="00F110D5"/>
    <w:rsid w:val="00F11C84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1D14"/>
    <w:rsid w:val="00F2260F"/>
    <w:rsid w:val="00F242AD"/>
    <w:rsid w:val="00F247F2"/>
    <w:rsid w:val="00F252A8"/>
    <w:rsid w:val="00F25C8F"/>
    <w:rsid w:val="00F2608D"/>
    <w:rsid w:val="00F265F7"/>
    <w:rsid w:val="00F27FA6"/>
    <w:rsid w:val="00F33DC8"/>
    <w:rsid w:val="00F34444"/>
    <w:rsid w:val="00F360A6"/>
    <w:rsid w:val="00F37F25"/>
    <w:rsid w:val="00F4031F"/>
    <w:rsid w:val="00F4065A"/>
    <w:rsid w:val="00F40F19"/>
    <w:rsid w:val="00F4275C"/>
    <w:rsid w:val="00F45693"/>
    <w:rsid w:val="00F45A86"/>
    <w:rsid w:val="00F47025"/>
    <w:rsid w:val="00F47983"/>
    <w:rsid w:val="00F5170F"/>
    <w:rsid w:val="00F52339"/>
    <w:rsid w:val="00F5277A"/>
    <w:rsid w:val="00F52876"/>
    <w:rsid w:val="00F532E8"/>
    <w:rsid w:val="00F537FF"/>
    <w:rsid w:val="00F560FE"/>
    <w:rsid w:val="00F56EF6"/>
    <w:rsid w:val="00F605B6"/>
    <w:rsid w:val="00F6111C"/>
    <w:rsid w:val="00F613EC"/>
    <w:rsid w:val="00F614C0"/>
    <w:rsid w:val="00F61647"/>
    <w:rsid w:val="00F61F5F"/>
    <w:rsid w:val="00F6280F"/>
    <w:rsid w:val="00F64BEC"/>
    <w:rsid w:val="00F657CF"/>
    <w:rsid w:val="00F66A00"/>
    <w:rsid w:val="00F713A3"/>
    <w:rsid w:val="00F71A8F"/>
    <w:rsid w:val="00F74603"/>
    <w:rsid w:val="00F75240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2906"/>
    <w:rsid w:val="00F84421"/>
    <w:rsid w:val="00F8449B"/>
    <w:rsid w:val="00F84CDE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2379"/>
    <w:rsid w:val="00FB4407"/>
    <w:rsid w:val="00FB4B8A"/>
    <w:rsid w:val="00FB4FAA"/>
    <w:rsid w:val="00FB5152"/>
    <w:rsid w:val="00FB680E"/>
    <w:rsid w:val="00FB78F8"/>
    <w:rsid w:val="00FC0065"/>
    <w:rsid w:val="00FC15E7"/>
    <w:rsid w:val="00FC1C31"/>
    <w:rsid w:val="00FC2E4D"/>
    <w:rsid w:val="00FC3AEE"/>
    <w:rsid w:val="00FC6238"/>
    <w:rsid w:val="00FC78AD"/>
    <w:rsid w:val="00FD0D70"/>
    <w:rsid w:val="00FD1D37"/>
    <w:rsid w:val="00FD254A"/>
    <w:rsid w:val="00FD33FC"/>
    <w:rsid w:val="00FD3730"/>
    <w:rsid w:val="00FD3ADE"/>
    <w:rsid w:val="00FD3B08"/>
    <w:rsid w:val="00FD4806"/>
    <w:rsid w:val="00FD4BA4"/>
    <w:rsid w:val="00FD4EFF"/>
    <w:rsid w:val="00FD534E"/>
    <w:rsid w:val="00FD56C7"/>
    <w:rsid w:val="00FD5CBB"/>
    <w:rsid w:val="00FD6B74"/>
    <w:rsid w:val="00FD70AE"/>
    <w:rsid w:val="00FD7356"/>
    <w:rsid w:val="00FD7564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42A0"/>
    <w:rsid w:val="00FF6822"/>
    <w:rsid w:val="00FF683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4E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CChar">
    <w:name w:val="TAC Char"/>
    <w:link w:val="TAC"/>
    <w:locked/>
    <w:rsid w:val="0003163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3163F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4BA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5AIRPNAIUNRU-1830940522-3288</_dlc_DocId>
    <_dlc_DocIdUrl xmlns="71c5aaf6-e6ce-465b-b873-5148d2a4c105">
      <Url>https://nokia.sharepoint.com/sites/c5g/5gradio/_layouts/15/DocIdRedir.aspx?ID=5AIRPNAIUNRU-1830940522-3288</Url>
      <Description>5AIRPNAIUNRU-1830940522-3288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43AE1B-2656-4052-BC86-8AD1B236D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44DFC4-A9E7-4D79-AE4B-50C7FD91F0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77237A5-4D6B-4F9A-A393-FF9EA755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238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Ye, Sigen (Nokia - US/Murray Hill)</cp:lastModifiedBy>
  <cp:revision>11</cp:revision>
  <cp:lastPrinted>2018-05-09T20:44:00Z</cp:lastPrinted>
  <dcterms:created xsi:type="dcterms:W3CDTF">2018-05-09T20:25:00Z</dcterms:created>
  <dcterms:modified xsi:type="dcterms:W3CDTF">2018-05-12T02:25:00Z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64bb262f-5b95-420b-927b-0f374c9b2730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